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8B" w:rsidRPr="003F4839" w:rsidRDefault="002E208B" w:rsidP="002E208B">
      <w:pPr>
        <w:spacing w:after="0" w:line="276" w:lineRule="auto"/>
        <w:ind w:left="-284"/>
        <w:jc w:val="both"/>
        <w:rPr>
          <w:rFonts w:ascii="Arial Narrow" w:hAnsi="Arial Narrow" w:cs="Arial"/>
          <w:b/>
        </w:rPr>
      </w:pPr>
    </w:p>
    <w:p w:rsidR="0072719B" w:rsidRPr="0041031B" w:rsidRDefault="0072719B" w:rsidP="0072719B">
      <w:pPr>
        <w:spacing w:after="0"/>
        <w:ind w:left="-284"/>
        <w:jc w:val="both"/>
        <w:rPr>
          <w:rFonts w:ascii="Arial Narrow" w:eastAsia="Arial Unicode MS" w:hAnsi="Arial Narrow" w:cs="Times New Roman"/>
        </w:rPr>
      </w:pPr>
      <w:r w:rsidRPr="0041031B">
        <w:rPr>
          <w:rFonts w:ascii="Arial Narrow" w:eastAsia="Arial Unicode MS" w:hAnsi="Arial Narrow" w:cs="Times New Roman"/>
          <w:b/>
        </w:rPr>
        <w:t>SISTEMA INTEGRADO PARA GESTÃO DE LABORATORIO</w:t>
      </w:r>
      <w:r w:rsidRPr="0041031B">
        <w:rPr>
          <w:rFonts w:ascii="Arial Narrow" w:eastAsia="Arial Unicode MS" w:hAnsi="Arial Narrow" w:cs="Times New Roman"/>
        </w:rPr>
        <w:t xml:space="preserve"> </w:t>
      </w:r>
      <w:bookmarkStart w:id="0" w:name="_GoBack"/>
      <w:bookmarkEnd w:id="0"/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7"/>
        <w:gridCol w:w="7933"/>
      </w:tblGrid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4839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7933" w:type="dxa"/>
          </w:tcPr>
          <w:p w:rsidR="002E208B" w:rsidRPr="003F4839" w:rsidRDefault="002E208B" w:rsidP="00B6293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</w:pPr>
            <w:r w:rsidRPr="003F4839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Características Gerais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O sistema está direcionado para o atendimento à Portaria 2914/2011 (e suas alterações)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Aplicativo desenvolvido em ambiente Windows em linguagem de programação de alto nível orientada a objetos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Opera em ambiente de rede local ou estação de trabalho individual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 xml:space="preserve">Utilização de SGBD (Sistema Gerenciador de Banco de Dados) que proporciona confiabilidade e segurança as informações armazenadas, além de permitir proteção dos dados armazenados através da utilização de usuários </w:t>
            </w:r>
            <w:r>
              <w:rPr>
                <w:rFonts w:ascii="Arial Narrow" w:eastAsia="Arial Unicode MS" w:hAnsi="Arial Narrow" w:cs="Times New Roman"/>
              </w:rPr>
              <w:t>p</w:t>
            </w:r>
            <w:r w:rsidRPr="0041031B">
              <w:rPr>
                <w:rFonts w:ascii="Arial Narrow" w:eastAsia="Arial Unicode MS" w:hAnsi="Arial Narrow" w:cs="Times New Roman"/>
              </w:rPr>
              <w:t>ara acesso ao SGBD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Sistema de autenticação de usuário com controle de nível de acesso às operações do sistema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Controle das análises de água bruta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Controle das análises de água tratada ainda na estação de tratamento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8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Controle das análises de água tratada na ponta de rede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9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Controle das lavagens dos filtros com demonstrativo gráfico do tempo utilizado para lavagens, consumo Estimado e quantidade de lavagens em período determinado pelo operador do sistema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10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Controle da quantidade de sulfato utilizado durante o preparo dos tanques para tratamento da água, com apresentação de gráfico demonstrativo de consumo por período, e média diária, específico definido pelo operador do sistema, bem como gráfico demonstrativo com consumo agrupado mensal por ano especificado pelo operador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11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Controle das substituições dos cilindros de cloro gás com gráfico demonstrativo da média de consumo e média diária de utilização em período específico determinado pelo operador do sistema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12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Monitoramento de nível de rio com gráfico demonstrativo em período específico deter</w:t>
            </w:r>
            <w:r>
              <w:rPr>
                <w:rFonts w:ascii="Arial Narrow" w:eastAsia="Arial Unicode MS" w:hAnsi="Arial Narrow" w:cs="Times New Roman"/>
              </w:rPr>
              <w:t>minado pelo operador do sistema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13</w:t>
            </w:r>
          </w:p>
        </w:tc>
        <w:tc>
          <w:tcPr>
            <w:tcW w:w="7933" w:type="dxa"/>
          </w:tcPr>
          <w:p w:rsidR="002E208B" w:rsidRPr="003F4839" w:rsidRDefault="0072719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>Auditoria das alterações realizadas no Banco de Dados, com informações referentes aos responsáveis pelas alterações, bem como data, hora e valores que foram modificados, proporcionando assim maior segurança para o Administrador do Sistema, além de proporcionar garantia de que os dados não estão sendo manipulados de forma indevida e, caso estejam, aponte de forma precisa o(s) responsável (eis) pelas modificações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14</w:t>
            </w:r>
          </w:p>
        </w:tc>
        <w:tc>
          <w:tcPr>
            <w:tcW w:w="7933" w:type="dxa"/>
          </w:tcPr>
          <w:p w:rsidR="002E208B" w:rsidRPr="003F4839" w:rsidRDefault="0072719B" w:rsidP="0072719B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41031B">
              <w:rPr>
                <w:rFonts w:ascii="Arial Narrow" w:eastAsia="Arial Unicode MS" w:hAnsi="Arial Narrow" w:cs="Times New Roman"/>
              </w:rPr>
              <w:t xml:space="preserve">Configuração dos parâmetros referentes às análises de água, tanto bruta como tratada, para exibição de relatórios padronizados em que as análises </w:t>
            </w:r>
            <w:r>
              <w:rPr>
                <w:rFonts w:ascii="Arial Narrow" w:eastAsia="Arial Unicode MS" w:hAnsi="Arial Narrow" w:cs="Times New Roman"/>
              </w:rPr>
              <w:t>se apresentem</w:t>
            </w:r>
            <w:r w:rsidRPr="0041031B">
              <w:rPr>
                <w:rFonts w:ascii="Arial Narrow" w:eastAsia="Arial Unicode MS" w:hAnsi="Arial Narrow" w:cs="Times New Roman"/>
              </w:rPr>
              <w:t xml:space="preserve"> divergentes em relação aos valores mínimos ou máximos especificados por legislação pertinente.</w:t>
            </w:r>
          </w:p>
        </w:tc>
      </w:tr>
    </w:tbl>
    <w:p w:rsidR="002E208B" w:rsidRPr="00C253C7" w:rsidRDefault="002E208B" w:rsidP="0072719B"/>
    <w:sectPr w:rsidR="002E208B" w:rsidRPr="00C25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A6B"/>
    <w:multiLevelType w:val="hybridMultilevel"/>
    <w:tmpl w:val="C22CC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E4FEC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211B"/>
    <w:multiLevelType w:val="hybridMultilevel"/>
    <w:tmpl w:val="88F49A52"/>
    <w:lvl w:ilvl="0" w:tplc="BF22F800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D334251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F7449E52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66426B2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E548C19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05420D82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73AAA250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5308C560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73B68A92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" w15:restartNumberingAfterBreak="0">
    <w:nsid w:val="4C133F1C"/>
    <w:multiLevelType w:val="multilevel"/>
    <w:tmpl w:val="5EEAAB9C"/>
    <w:lvl w:ilvl="0">
      <w:start w:val="5"/>
      <w:numFmt w:val="decimal"/>
      <w:lvlText w:val="%1"/>
      <w:lvlJc w:val="left"/>
      <w:pPr>
        <w:ind w:left="858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8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6740" w:hanging="360"/>
      </w:pPr>
      <w:rPr>
        <w:rFonts w:hint="default"/>
      </w:rPr>
    </w:lvl>
    <w:lvl w:ilvl="8"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29"/>
    <w:rsid w:val="00027A48"/>
    <w:rsid w:val="00065D29"/>
    <w:rsid w:val="0008612F"/>
    <w:rsid w:val="00091718"/>
    <w:rsid w:val="000C51A8"/>
    <w:rsid w:val="0011796A"/>
    <w:rsid w:val="001231AA"/>
    <w:rsid w:val="0014366A"/>
    <w:rsid w:val="001A0316"/>
    <w:rsid w:val="001A65C6"/>
    <w:rsid w:val="001B7052"/>
    <w:rsid w:val="00220809"/>
    <w:rsid w:val="00234B0F"/>
    <w:rsid w:val="0023674E"/>
    <w:rsid w:val="00270C09"/>
    <w:rsid w:val="002829EA"/>
    <w:rsid w:val="0028348C"/>
    <w:rsid w:val="002B294B"/>
    <w:rsid w:val="002E208B"/>
    <w:rsid w:val="002F407B"/>
    <w:rsid w:val="00333BE1"/>
    <w:rsid w:val="003509EB"/>
    <w:rsid w:val="00377AD4"/>
    <w:rsid w:val="00383765"/>
    <w:rsid w:val="003A65CE"/>
    <w:rsid w:val="003D17CA"/>
    <w:rsid w:val="003F11C9"/>
    <w:rsid w:val="003F4839"/>
    <w:rsid w:val="004061AC"/>
    <w:rsid w:val="00407503"/>
    <w:rsid w:val="00427829"/>
    <w:rsid w:val="00451DDD"/>
    <w:rsid w:val="00483BCA"/>
    <w:rsid w:val="0049090B"/>
    <w:rsid w:val="004D3F47"/>
    <w:rsid w:val="005251EF"/>
    <w:rsid w:val="005E767E"/>
    <w:rsid w:val="005F2933"/>
    <w:rsid w:val="00603387"/>
    <w:rsid w:val="00641597"/>
    <w:rsid w:val="006478BD"/>
    <w:rsid w:val="0065656E"/>
    <w:rsid w:val="0067726F"/>
    <w:rsid w:val="00680233"/>
    <w:rsid w:val="00683CB9"/>
    <w:rsid w:val="006A0570"/>
    <w:rsid w:val="006A4372"/>
    <w:rsid w:val="006C06C2"/>
    <w:rsid w:val="006C5F75"/>
    <w:rsid w:val="006E38A2"/>
    <w:rsid w:val="00716219"/>
    <w:rsid w:val="0072719B"/>
    <w:rsid w:val="00731B6D"/>
    <w:rsid w:val="00775307"/>
    <w:rsid w:val="00782E80"/>
    <w:rsid w:val="00787512"/>
    <w:rsid w:val="007926FB"/>
    <w:rsid w:val="00822153"/>
    <w:rsid w:val="00822C81"/>
    <w:rsid w:val="008260FC"/>
    <w:rsid w:val="00846749"/>
    <w:rsid w:val="00855203"/>
    <w:rsid w:val="00880A19"/>
    <w:rsid w:val="00881363"/>
    <w:rsid w:val="008D7464"/>
    <w:rsid w:val="008E3DB2"/>
    <w:rsid w:val="008E59BC"/>
    <w:rsid w:val="0091232A"/>
    <w:rsid w:val="00913001"/>
    <w:rsid w:val="0095498E"/>
    <w:rsid w:val="00960E56"/>
    <w:rsid w:val="009B470A"/>
    <w:rsid w:val="009F6932"/>
    <w:rsid w:val="00AA2A67"/>
    <w:rsid w:val="00AB42FC"/>
    <w:rsid w:val="00AD6C86"/>
    <w:rsid w:val="00AE0725"/>
    <w:rsid w:val="00B01B5E"/>
    <w:rsid w:val="00B223BE"/>
    <w:rsid w:val="00B35717"/>
    <w:rsid w:val="00B67FFA"/>
    <w:rsid w:val="00B7645A"/>
    <w:rsid w:val="00BB39CD"/>
    <w:rsid w:val="00BC61DC"/>
    <w:rsid w:val="00C253C7"/>
    <w:rsid w:val="00C35CFC"/>
    <w:rsid w:val="00C77DB0"/>
    <w:rsid w:val="00C911D0"/>
    <w:rsid w:val="00D05B94"/>
    <w:rsid w:val="00D20812"/>
    <w:rsid w:val="00D23E1D"/>
    <w:rsid w:val="00D26D30"/>
    <w:rsid w:val="00DB0EDD"/>
    <w:rsid w:val="00E003A7"/>
    <w:rsid w:val="00E0193F"/>
    <w:rsid w:val="00E04FC5"/>
    <w:rsid w:val="00E1549F"/>
    <w:rsid w:val="00E36251"/>
    <w:rsid w:val="00E51B82"/>
    <w:rsid w:val="00E842E4"/>
    <w:rsid w:val="00F606D3"/>
    <w:rsid w:val="00F80EB6"/>
    <w:rsid w:val="00F8734A"/>
    <w:rsid w:val="00F93DB7"/>
    <w:rsid w:val="00FA19FB"/>
    <w:rsid w:val="00FC376F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A6E6-D314-45DD-9709-3D33E34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5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65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2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B698-F84C-436D-947B-B7DD1098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Cacia Paula Carvalho</dc:creator>
  <cp:keywords/>
  <dc:description/>
  <cp:lastModifiedBy>Diogo A.R. da Costa</cp:lastModifiedBy>
  <cp:revision>9</cp:revision>
  <dcterms:created xsi:type="dcterms:W3CDTF">2019-09-09T16:02:00Z</dcterms:created>
  <dcterms:modified xsi:type="dcterms:W3CDTF">2019-09-10T18:34:00Z</dcterms:modified>
</cp:coreProperties>
</file>