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F7B" w:rsidRPr="00782E80" w:rsidRDefault="00DC4F7B" w:rsidP="00DC4F7B">
      <w:pPr>
        <w:spacing w:after="0" w:line="276" w:lineRule="auto"/>
        <w:jc w:val="both"/>
        <w:rPr>
          <w:rFonts w:ascii="Arial Narrow" w:hAnsi="Arial Narrow" w:cs="Arial"/>
        </w:rPr>
      </w:pPr>
      <w:bookmarkStart w:id="0" w:name="_GoBack"/>
      <w:bookmarkEnd w:id="0"/>
      <w:r w:rsidRPr="00FD5CCD">
        <w:rPr>
          <w:rFonts w:ascii="Arial Narrow" w:hAnsi="Arial Narrow" w:cs="Arial"/>
          <w:b/>
        </w:rPr>
        <w:t>SISTEMA DE TESOURARIA</w:t>
      </w:r>
      <w:r>
        <w:rPr>
          <w:rFonts w:ascii="Arial Narrow" w:hAnsi="Arial Narrow" w:cs="Arial"/>
          <w:b/>
        </w:rPr>
        <w:t>,</w:t>
      </w:r>
      <w:r w:rsidRPr="00FD5CCD">
        <w:rPr>
          <w:rFonts w:ascii="Arial Narrow" w:hAnsi="Arial Narrow" w:cs="Arial"/>
          <w:b/>
        </w:rPr>
        <w:t xml:space="preserve"> </w:t>
      </w:r>
      <w:r w:rsidRPr="00FD5CCD">
        <w:rPr>
          <w:rFonts w:ascii="Arial Narrow" w:hAnsi="Arial Narrow" w:cs="Arial"/>
        </w:rPr>
        <w:t>informatiza os processos que envolvem as operações financeiras da tesouraria do município, controlando as seguintes atividades: Recebimentos, Pagamentos, Movimentação Bancária, Emissão de Cheques, Emissão de Borderô de Pagamentos, Conciliação Bancária e Elaboração de Demonstrativos Financeiros</w:t>
      </w:r>
      <w:r>
        <w:rPr>
          <w:rFonts w:ascii="Arial Narrow" w:hAnsi="Arial Narrow" w:cs="Arial"/>
        </w:rPr>
        <w:t>.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DC4F7B" w:rsidRPr="00027A48" w:rsidTr="00FD0CE7">
        <w:tc>
          <w:tcPr>
            <w:tcW w:w="567" w:type="dxa"/>
          </w:tcPr>
          <w:p w:rsidR="00DC4F7B" w:rsidRPr="00027A48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DC4F7B" w:rsidRPr="00027A48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Principais Rotinas</w:t>
            </w:r>
          </w:p>
        </w:tc>
      </w:tr>
      <w:tr w:rsidR="00DC4F7B" w:rsidTr="00FD0CE7">
        <w:tc>
          <w:tcPr>
            <w:tcW w:w="567" w:type="dxa"/>
          </w:tcPr>
          <w:p w:rsidR="00DC4F7B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DC4F7B" w:rsidRPr="00FD5CCD" w:rsidRDefault="00DC4F7B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 as mesmas telas de cadastro do sistema de contabilidade: Entidade, Exercício, Credor, Banco, Plano de Contas, históricos, grupos de relatórios</w:t>
            </w:r>
          </w:p>
        </w:tc>
      </w:tr>
      <w:tr w:rsidR="00DC4F7B" w:rsidTr="00FD0CE7">
        <w:tc>
          <w:tcPr>
            <w:tcW w:w="567" w:type="dxa"/>
          </w:tcPr>
          <w:p w:rsidR="00DC4F7B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DC4F7B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Cadastro de Contas Bancárias</w:t>
            </w:r>
            <w:r>
              <w:rPr>
                <w:rFonts w:ascii="Arial Narrow" w:hAnsi="Arial Narrow" w:cs="Arial"/>
              </w:rPr>
              <w:t xml:space="preserve"> onde terá a opção de:</w:t>
            </w:r>
          </w:p>
          <w:p w:rsidR="00DC4F7B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a)  vinculação da conta caixa, movimento e demais aplicações conforme suas contas patrimoniais;</w:t>
            </w:r>
          </w:p>
          <w:p w:rsidR="00DC4F7B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b) Apontamento de responsável;</w:t>
            </w:r>
          </w:p>
          <w:p w:rsidR="00DC4F7B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c) Fonte de Recursos (com apontamento de mais de uma fonte);</w:t>
            </w:r>
          </w:p>
          <w:p w:rsidR="00DC4F7B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d) Configuração dos lotes de remessa; e </w:t>
            </w:r>
          </w:p>
          <w:p w:rsidR="00DC4F7B" w:rsidRPr="00FD5CCD" w:rsidRDefault="00DC4F7B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 w:cs="Arial"/>
              </w:rPr>
              <w:t>e) Vinculação de conta contábil de receitas que podem ser lançadas na conta.</w:t>
            </w:r>
          </w:p>
        </w:tc>
      </w:tr>
      <w:tr w:rsidR="00DC4F7B" w:rsidTr="00FD0CE7">
        <w:tc>
          <w:tcPr>
            <w:tcW w:w="567" w:type="dxa"/>
          </w:tcPr>
          <w:p w:rsidR="00DC4F7B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DC4F7B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Cadastro de Impressoras e configuração de modelo de impressão e configuração de Cheque automática</w:t>
            </w:r>
          </w:p>
        </w:tc>
      </w:tr>
      <w:tr w:rsidR="00DC4F7B" w:rsidTr="00FD0CE7">
        <w:tc>
          <w:tcPr>
            <w:tcW w:w="567" w:type="dxa"/>
          </w:tcPr>
          <w:p w:rsidR="00DC4F7B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DC4F7B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 controle de abertura e fechamento do caixa por</w:t>
            </w:r>
            <w:r>
              <w:rPr>
                <w:rFonts w:ascii="Arial Narrow" w:hAnsi="Arial Narrow" w:cs="Arial"/>
              </w:rPr>
              <w:t xml:space="preserve"> dia, impossibilitando lançamentos em datas diferentes da abertura do caixa.</w:t>
            </w:r>
          </w:p>
        </w:tc>
      </w:tr>
      <w:tr w:rsidR="00DC4F7B" w:rsidTr="00FD0CE7">
        <w:tc>
          <w:tcPr>
            <w:tcW w:w="567" w:type="dxa"/>
          </w:tcPr>
          <w:p w:rsidR="00DC4F7B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DC4F7B" w:rsidRPr="00BB39CD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 uma única opção para efetuar pagamentos de empenho orçamentários, restos a pagar e despesas extras, podendo informar o número do cheque, borderô, debito automático e outros tipos de documentos de pagamentos</w:t>
            </w:r>
          </w:p>
        </w:tc>
      </w:tr>
      <w:tr w:rsidR="00DC4F7B" w:rsidTr="00FD0CE7">
        <w:tc>
          <w:tcPr>
            <w:tcW w:w="567" w:type="dxa"/>
          </w:tcPr>
          <w:p w:rsidR="00DC4F7B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DC4F7B" w:rsidRPr="00FD5CCD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Concilia os saldos das contas bancárias, emitindo relatório de Conciliação Bancária de todas as contas dos bancos, possibilitando a impressão do TC-03 diretamente na tela de conciliação</w:t>
            </w:r>
          </w:p>
        </w:tc>
      </w:tr>
      <w:tr w:rsidR="00DC4F7B" w:rsidTr="00FD0CE7">
        <w:tc>
          <w:tcPr>
            <w:tcW w:w="567" w:type="dxa"/>
          </w:tcPr>
          <w:p w:rsidR="00DC4F7B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DC4F7B" w:rsidRPr="00FD5CCD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conciliar automaticamente toda a movimentação de conta banco de um determinado período através de importação do extrato bancário com a comparação automática dos dados entre a tesouraria e os dados do extrato bancário</w:t>
            </w:r>
          </w:p>
        </w:tc>
      </w:tr>
      <w:tr w:rsidR="00DC4F7B" w:rsidTr="00FD0CE7">
        <w:tc>
          <w:tcPr>
            <w:tcW w:w="567" w:type="dxa"/>
          </w:tcPr>
          <w:p w:rsidR="00DC4F7B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DC4F7B" w:rsidRPr="00FD5CCD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Aplicação e Regaste – Permite o cadastro das aplicações e resgates, possibilitando a importação via arquivo das movimentações realizado no banco</w:t>
            </w:r>
          </w:p>
        </w:tc>
      </w:tr>
      <w:tr w:rsidR="00DC4F7B" w:rsidTr="00FD0CE7">
        <w:tc>
          <w:tcPr>
            <w:tcW w:w="567" w:type="dxa"/>
          </w:tcPr>
          <w:p w:rsidR="00DC4F7B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DC4F7B" w:rsidRPr="00FD5CCD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Possibilidade de inclusão ou estorno dos lançamentos a qualquer período, deixando, automaticamente, os saldos das contas atualizados</w:t>
            </w:r>
          </w:p>
        </w:tc>
      </w:tr>
      <w:tr w:rsidR="00DC4F7B" w:rsidTr="00FD0CE7">
        <w:tc>
          <w:tcPr>
            <w:tcW w:w="567" w:type="dxa"/>
          </w:tcPr>
          <w:p w:rsidR="00DC4F7B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DC4F7B" w:rsidRPr="00FD5CCD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Permite geração do Borderô em meio magnético: Permitir a criação de arquivos de dados para envio de Borderô aos bancos, conforme layout (CNAB240 e OBN600-6001) de cada instituição bancária</w:t>
            </w:r>
          </w:p>
        </w:tc>
      </w:tr>
      <w:tr w:rsidR="00DC4F7B" w:rsidTr="00FD0CE7">
        <w:tc>
          <w:tcPr>
            <w:tcW w:w="567" w:type="dxa"/>
          </w:tcPr>
          <w:p w:rsidR="00DC4F7B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DC4F7B" w:rsidRDefault="00DC4F7B" w:rsidP="00FD0CE7">
            <w:pPr>
              <w:suppressAutoHyphens/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Consultar em tela a movimentação das contas de qualquer período do exercício</w:t>
            </w:r>
          </w:p>
        </w:tc>
      </w:tr>
      <w:tr w:rsidR="00DC4F7B" w:rsidTr="00FD0CE7">
        <w:tc>
          <w:tcPr>
            <w:tcW w:w="567" w:type="dxa"/>
          </w:tcPr>
          <w:p w:rsidR="00DC4F7B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DC4F7B" w:rsidRPr="00FD5CCD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 a impressão de cheque avulso, em máquinas próprias de impressão de cheque. Exemplo de máquinas: </w:t>
            </w:r>
            <w:proofErr w:type="spellStart"/>
            <w:r w:rsidRPr="00FD5CCD">
              <w:rPr>
                <w:rFonts w:ascii="Arial Narrow" w:hAnsi="Arial Narrow" w:cs="Arial"/>
              </w:rPr>
              <w:t>Check</w:t>
            </w:r>
            <w:proofErr w:type="spellEnd"/>
            <w:r w:rsidRPr="00FD5CCD">
              <w:rPr>
                <w:rFonts w:ascii="Arial Narrow" w:hAnsi="Arial Narrow" w:cs="Arial"/>
              </w:rPr>
              <w:t xml:space="preserve"> Pronto, NCR 2012, outras</w:t>
            </w:r>
          </w:p>
        </w:tc>
      </w:tr>
      <w:tr w:rsidR="00DC4F7B" w:rsidTr="00FD0CE7">
        <w:tc>
          <w:tcPr>
            <w:tcW w:w="567" w:type="dxa"/>
          </w:tcPr>
          <w:p w:rsidR="00DC4F7B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DC4F7B" w:rsidRPr="00FD5CCD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calendário de feriados, evitando que o usuário faça lançamentos em datas indevidas</w:t>
            </w:r>
          </w:p>
        </w:tc>
      </w:tr>
      <w:tr w:rsidR="00DC4F7B" w:rsidTr="00FD0CE7">
        <w:tc>
          <w:tcPr>
            <w:tcW w:w="567" w:type="dxa"/>
          </w:tcPr>
          <w:p w:rsidR="00DC4F7B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DC4F7B" w:rsidRPr="00FD5CCD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Integração com o sistema de Tributação via banco de dados, realizado dia a dia, já contab</w:t>
            </w:r>
            <w:r>
              <w:rPr>
                <w:rFonts w:ascii="Arial Narrow" w:hAnsi="Arial Narrow" w:cs="Arial"/>
              </w:rPr>
              <w:t>ilizando no grupo do compensado e</w:t>
            </w:r>
            <w:r w:rsidRPr="00FD5CCD">
              <w:rPr>
                <w:rFonts w:ascii="Arial Narrow" w:hAnsi="Arial Narrow" w:cs="Arial"/>
              </w:rPr>
              <w:t xml:space="preserve"> possui</w:t>
            </w:r>
            <w:r>
              <w:rPr>
                <w:rFonts w:ascii="Arial Narrow" w:hAnsi="Arial Narrow" w:cs="Arial"/>
              </w:rPr>
              <w:t>r</w:t>
            </w:r>
            <w:r w:rsidRPr="00FD5CCD">
              <w:rPr>
                <w:rFonts w:ascii="Arial Narrow" w:hAnsi="Arial Narrow" w:cs="Arial"/>
              </w:rPr>
              <w:t xml:space="preserve"> relatório próprio para conferência, demonstra na tela valores de inscrição, de cancelamento, de juros, de dação, de desconto e de correção</w:t>
            </w:r>
          </w:p>
        </w:tc>
      </w:tr>
      <w:tr w:rsidR="00DC4F7B" w:rsidTr="00FD0CE7">
        <w:tc>
          <w:tcPr>
            <w:tcW w:w="567" w:type="dxa"/>
          </w:tcPr>
          <w:p w:rsidR="00DC4F7B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DC4F7B" w:rsidRPr="00FD5CCD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Possibilitar o controle automático dos aptos para pagamento, por ocasião do </w:t>
            </w:r>
            <w:r w:rsidRPr="00220809">
              <w:rPr>
                <w:rFonts w:ascii="Arial Narrow" w:hAnsi="Arial Narrow" w:cs="Arial"/>
                <w:b/>
              </w:rPr>
              <w:t>pagamento</w:t>
            </w:r>
            <w:r>
              <w:rPr>
                <w:rFonts w:ascii="Arial Narrow" w:hAnsi="Arial Narrow" w:cs="Arial"/>
              </w:rPr>
              <w:t xml:space="preserve"> ou inclusão nos </w:t>
            </w:r>
            <w:r w:rsidRPr="00220809">
              <w:rPr>
                <w:rFonts w:ascii="Arial Narrow" w:hAnsi="Arial Narrow" w:cs="Arial"/>
                <w:b/>
              </w:rPr>
              <w:t>lotes de remessa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220809">
              <w:rPr>
                <w:rFonts w:ascii="Arial Narrow" w:hAnsi="Arial Narrow" w:cs="Arial"/>
              </w:rPr>
              <w:t>dos convênios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CNAB240 e OBN600-6001, demonstrando mensagem quando estiver fora da ordem cronológica, por fonte de recursos, só permitindo o pagamento com justificativa (no mínimo de 20 caracteres), para cumprir o </w:t>
            </w:r>
            <w:proofErr w:type="spellStart"/>
            <w:r w:rsidRPr="004A4F4A">
              <w:rPr>
                <w:rFonts w:ascii="Arial Narrow" w:hAnsi="Arial Narrow" w:cs="Arial"/>
              </w:rPr>
              <w:t>arts</w:t>
            </w:r>
            <w:proofErr w:type="spellEnd"/>
            <w:r w:rsidRPr="004A4F4A">
              <w:rPr>
                <w:rFonts w:ascii="Arial Narrow" w:hAnsi="Arial Narrow" w:cs="Arial"/>
              </w:rPr>
              <w:t>. 5º, caput, e 40, XIV, "a", da Lei nº 8.666/1993</w:t>
            </w:r>
          </w:p>
        </w:tc>
      </w:tr>
      <w:tr w:rsidR="00DC4F7B" w:rsidTr="00FD0CE7">
        <w:tc>
          <w:tcPr>
            <w:tcW w:w="567" w:type="dxa"/>
          </w:tcPr>
          <w:p w:rsidR="00DC4F7B" w:rsidRDefault="00DC4F7B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16</w:t>
            </w:r>
          </w:p>
        </w:tc>
        <w:tc>
          <w:tcPr>
            <w:tcW w:w="7933" w:type="dxa"/>
          </w:tcPr>
          <w:p w:rsidR="00DC4F7B" w:rsidRPr="00C911D0" w:rsidRDefault="00DC4F7B" w:rsidP="00FD0CE7">
            <w:pPr>
              <w:suppressAutoHyphens/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Possibilitar ao usuário que tenha opção de gerar ordem de pagamento das despesas orçamentárias ou efetue o pagamento ou inclusão no lote de remessa da parcela liquidada sem a emissão de ordem de pagamento.</w:t>
            </w:r>
          </w:p>
        </w:tc>
      </w:tr>
    </w:tbl>
    <w:p w:rsidR="00DC4F7B" w:rsidRPr="00FD5CCD" w:rsidRDefault="00DC4F7B" w:rsidP="00DC4F7B">
      <w:pPr>
        <w:spacing w:after="0" w:line="276" w:lineRule="auto"/>
        <w:jc w:val="both"/>
        <w:rPr>
          <w:rFonts w:ascii="Arial Narrow" w:hAnsi="Arial Narrow" w:cs="Arial"/>
        </w:rPr>
      </w:pPr>
    </w:p>
    <w:sectPr w:rsidR="00DC4F7B" w:rsidRPr="00FD5C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A2205"/>
    <w:rsid w:val="001A65C6"/>
    <w:rsid w:val="001B7052"/>
    <w:rsid w:val="00234B0F"/>
    <w:rsid w:val="0023674E"/>
    <w:rsid w:val="002829EA"/>
    <w:rsid w:val="00333BE1"/>
    <w:rsid w:val="003509EB"/>
    <w:rsid w:val="003A65CE"/>
    <w:rsid w:val="003D17CA"/>
    <w:rsid w:val="0049090B"/>
    <w:rsid w:val="005E767E"/>
    <w:rsid w:val="00622C70"/>
    <w:rsid w:val="006478BD"/>
    <w:rsid w:val="0067726F"/>
    <w:rsid w:val="00683CB9"/>
    <w:rsid w:val="006A0570"/>
    <w:rsid w:val="006A4372"/>
    <w:rsid w:val="00775307"/>
    <w:rsid w:val="007A64B4"/>
    <w:rsid w:val="007E22CA"/>
    <w:rsid w:val="00855203"/>
    <w:rsid w:val="00880A19"/>
    <w:rsid w:val="00960E56"/>
    <w:rsid w:val="00994C5D"/>
    <w:rsid w:val="00A12CEA"/>
    <w:rsid w:val="00AD6C86"/>
    <w:rsid w:val="00AE0725"/>
    <w:rsid w:val="00B01B5E"/>
    <w:rsid w:val="00B223BE"/>
    <w:rsid w:val="00B67FFA"/>
    <w:rsid w:val="00B7645A"/>
    <w:rsid w:val="00D41646"/>
    <w:rsid w:val="00DB0EDD"/>
    <w:rsid w:val="00DC4F7B"/>
    <w:rsid w:val="00E003A7"/>
    <w:rsid w:val="00E0193F"/>
    <w:rsid w:val="00E1549F"/>
    <w:rsid w:val="00E36251"/>
    <w:rsid w:val="00F606D3"/>
    <w:rsid w:val="00F80EB6"/>
    <w:rsid w:val="00F93DB7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2BEBC-E7BB-4AFE-8D0F-E6BFD66F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24</cp:revision>
  <dcterms:created xsi:type="dcterms:W3CDTF">2019-08-14T19:15:00Z</dcterms:created>
  <dcterms:modified xsi:type="dcterms:W3CDTF">2019-09-10T14:43:00Z</dcterms:modified>
</cp:coreProperties>
</file>