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63" w:rsidRPr="009E214D" w:rsidRDefault="009E214D" w:rsidP="009E214D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9E214D">
        <w:rPr>
          <w:rFonts w:ascii="Verdana" w:hAnsi="Verdana"/>
          <w:b/>
          <w:sz w:val="32"/>
          <w:szCs w:val="32"/>
          <w:u w:val="single"/>
        </w:rPr>
        <w:t>FONTES DE RECURSOS - COMBINAÇÕES</w:t>
      </w:r>
    </w:p>
    <w:p w:rsidR="00733C63" w:rsidRDefault="00733C63" w:rsidP="00733C63">
      <w:pPr>
        <w:jc w:val="both"/>
        <w:rPr>
          <w:rFonts w:ascii="Verdana" w:hAnsi="Verdana"/>
          <w:sz w:val="24"/>
          <w:szCs w:val="24"/>
        </w:rPr>
      </w:pPr>
    </w:p>
    <w:p w:rsidR="00733C63" w:rsidRDefault="00733C63" w:rsidP="009E214D">
      <w:pPr>
        <w:ind w:firstLine="15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Tendo em vista algumas diverg</w:t>
      </w:r>
      <w:r w:rsidR="009E214D">
        <w:rPr>
          <w:rFonts w:ascii="Verdana" w:hAnsi="Verdana"/>
          <w:sz w:val="24"/>
          <w:szCs w:val="24"/>
        </w:rPr>
        <w:t xml:space="preserve">ências relacionadas a </w:t>
      </w:r>
      <w:r w:rsidR="009E214D" w:rsidRPr="009E214D">
        <w:rPr>
          <w:rFonts w:ascii="Verdana" w:hAnsi="Verdana"/>
          <w:b/>
          <w:sz w:val="24"/>
          <w:szCs w:val="24"/>
        </w:rPr>
        <w:t>COMBINAÇÕES</w:t>
      </w:r>
      <w:r>
        <w:rPr>
          <w:rFonts w:ascii="Verdana" w:hAnsi="Verdana"/>
          <w:sz w:val="24"/>
          <w:szCs w:val="24"/>
        </w:rPr>
        <w:t xml:space="preserve"> das </w:t>
      </w:r>
      <w:r w:rsidRPr="009E214D">
        <w:rPr>
          <w:rFonts w:ascii="Verdana" w:hAnsi="Verdana"/>
          <w:b/>
          <w:sz w:val="24"/>
          <w:szCs w:val="24"/>
        </w:rPr>
        <w:t>fontes de recursos</w:t>
      </w:r>
      <w:r>
        <w:rPr>
          <w:rFonts w:ascii="Verdana" w:hAnsi="Verdana"/>
          <w:sz w:val="24"/>
          <w:szCs w:val="24"/>
        </w:rPr>
        <w:t>, junto a</w:t>
      </w:r>
      <w:r w:rsidR="009E214D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secretaria</w:t>
      </w:r>
      <w:r w:rsidR="009E214D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de Planejamento das entidades, gostaríamos da intercedência do</w:t>
      </w:r>
      <w:r w:rsidR="009E214D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contadores a fim de que possamos padronizar a planilha que disponibilizamos que será utilizada na elaboração do PPA/LOA.</w:t>
      </w:r>
    </w:p>
    <w:p w:rsidR="00733C63" w:rsidRDefault="00733C63" w:rsidP="00733C63">
      <w:pPr>
        <w:jc w:val="both"/>
        <w:rPr>
          <w:rFonts w:ascii="Verdana" w:hAnsi="Verdana"/>
          <w:sz w:val="24"/>
          <w:szCs w:val="24"/>
        </w:rPr>
      </w:pPr>
    </w:p>
    <w:p w:rsidR="00733C63" w:rsidRDefault="00733C63" w:rsidP="009E214D">
      <w:pPr>
        <w:tabs>
          <w:tab w:val="left" w:pos="1560"/>
        </w:tabs>
        <w:ind w:firstLine="15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Portanto, gostaríamos de considerar os quesitos abaixo, para que possamos ter um </w:t>
      </w:r>
      <w:r>
        <w:rPr>
          <w:rFonts w:ascii="Verdana" w:hAnsi="Verdana"/>
          <w:b/>
          <w:sz w:val="24"/>
          <w:szCs w:val="24"/>
        </w:rPr>
        <w:t>pensamento padrão</w:t>
      </w:r>
      <w:r>
        <w:rPr>
          <w:rFonts w:ascii="Verdana" w:hAnsi="Verdana"/>
          <w:sz w:val="24"/>
          <w:szCs w:val="24"/>
        </w:rPr>
        <w:t>.</w:t>
      </w:r>
    </w:p>
    <w:p w:rsidR="00733C63" w:rsidRDefault="00733C63" w:rsidP="00733C63">
      <w:pPr>
        <w:jc w:val="both"/>
        <w:rPr>
          <w:rFonts w:ascii="Verdana" w:hAnsi="Verdana"/>
          <w:sz w:val="24"/>
          <w:szCs w:val="24"/>
        </w:rPr>
      </w:pPr>
    </w:p>
    <w:p w:rsidR="00733C63" w:rsidRDefault="00733C63" w:rsidP="00733C63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9E214D">
        <w:rPr>
          <w:rFonts w:ascii="Verdana" w:hAnsi="Verdana"/>
          <w:b/>
          <w:sz w:val="24"/>
          <w:szCs w:val="24"/>
        </w:rPr>
        <w:t>Fonte de Recursos</w:t>
      </w:r>
      <w:r>
        <w:rPr>
          <w:rFonts w:ascii="Verdana" w:hAnsi="Verdana"/>
          <w:sz w:val="24"/>
          <w:szCs w:val="24"/>
        </w:rPr>
        <w:t>:</w:t>
      </w:r>
    </w:p>
    <w:p w:rsidR="00733C63" w:rsidRDefault="00733C63" w:rsidP="00733C63">
      <w:pPr>
        <w:shd w:val="clear" w:color="auto" w:fill="FFFFFF"/>
        <w:ind w:firstLine="360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9E214D">
        <w:rPr>
          <w:rFonts w:ascii="Verdana" w:hAnsi="Verdana"/>
          <w:b/>
          <w:sz w:val="24"/>
          <w:szCs w:val="24"/>
        </w:rPr>
        <w:t>Fonte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sym w:font="Wingdings" w:char="F0E0"/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pt-BR"/>
        </w:rPr>
        <w:t xml:space="preserve">figurado (sentido)figuradamente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origem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; causa.</w:t>
      </w:r>
    </w:p>
    <w:p w:rsidR="00733C63" w:rsidRDefault="00733C63" w:rsidP="00733C63">
      <w:pPr>
        <w:shd w:val="clear" w:color="auto" w:fill="FFFFFF"/>
        <w:ind w:firstLine="360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9E214D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Recurso</w:t>
      </w:r>
      <w:r w:rsidR="009E214D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s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sym w:font="Wingdings" w:char="F0E0"/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pt-BR"/>
        </w:rPr>
        <w:t xml:space="preserve">figurado (sentido)figuradamente 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riquezas,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fundos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, meios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de que se pode dispor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.</w:t>
      </w:r>
    </w:p>
    <w:p w:rsidR="00733C63" w:rsidRDefault="00733C63" w:rsidP="00733C63">
      <w:pPr>
        <w:shd w:val="clear" w:color="auto" w:fill="FFFFFF"/>
        <w:ind w:firstLine="360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Baseado nesse entendimento, que a </w:t>
      </w:r>
      <w:r w:rsidRPr="009E214D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 xml:space="preserve">fonte 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é a </w:t>
      </w:r>
      <w:r w:rsidRPr="009E214D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origem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de um </w:t>
      </w:r>
      <w:r w:rsidRPr="009E214D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fundo que se possa dispor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, entendemos que só poderemos criar uma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 xml:space="preserve">combinação (codificação) 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de fonte de recursos, quando existe a origem, ou seja, quando existir 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receita.</w:t>
      </w:r>
    </w:p>
    <w:p w:rsidR="00733C63" w:rsidRDefault="00733C63" w:rsidP="00733C63">
      <w:pPr>
        <w:shd w:val="clear" w:color="auto" w:fill="FFFFFF"/>
        <w:ind w:firstLine="360"/>
        <w:jc w:val="both"/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</w:pP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No nosso entendimento, não faz nenhum sentido criar uma </w:t>
      </w:r>
      <w:r w:rsidR="009E214D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nova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 xml:space="preserve">combinação </w:t>
      </w:r>
      <w:r w:rsidR="009E214D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para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uma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fonte de recursos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para 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despesa,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se não existe 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origem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para tal, ou seja, se não existir 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receita.</w:t>
      </w:r>
    </w:p>
    <w:p w:rsidR="00733C63" w:rsidRDefault="00733C63" w:rsidP="00733C63">
      <w:pPr>
        <w:shd w:val="clear" w:color="auto" w:fill="FFFFFF"/>
        <w:ind w:firstLine="360"/>
        <w:jc w:val="both"/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</w:pPr>
    </w:p>
    <w:p w:rsidR="009E214D" w:rsidRDefault="00733C63" w:rsidP="009E214D">
      <w:pPr>
        <w:shd w:val="clear" w:color="auto" w:fill="FFFFFF"/>
        <w:ind w:firstLine="1560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O conceito da </w:t>
      </w:r>
      <w:r w:rsidRPr="009E214D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Fonte de Recursos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, para que possamos considerar o início, meio e fim, dar-se-á, na sequencia abaixo:</w:t>
      </w:r>
    </w:p>
    <w:p w:rsidR="00733C63" w:rsidRDefault="00733C63" w:rsidP="00733C63">
      <w:pPr>
        <w:shd w:val="clear" w:color="auto" w:fill="FFFFFF"/>
        <w:ind w:firstLine="360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1871"/>
        <w:gridCol w:w="2092"/>
      </w:tblGrid>
      <w:tr w:rsidR="00733C63" w:rsidTr="009E21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Pr="009E214D" w:rsidRDefault="00733C63" w:rsidP="00733C63">
            <w:pPr>
              <w:jc w:val="both"/>
              <w:rPr>
                <w:rFonts w:ascii="Verdana" w:eastAsia="Times New Roman" w:hAnsi="Verdana" w:cs="Arial"/>
                <w:b/>
                <w:color w:val="222222"/>
                <w:sz w:val="24"/>
                <w:szCs w:val="24"/>
                <w:lang w:eastAsia="pt-BR"/>
              </w:rPr>
            </w:pPr>
            <w:r w:rsidRPr="009E214D">
              <w:rPr>
                <w:rFonts w:ascii="Verdana" w:eastAsia="Times New Roman" w:hAnsi="Verdana" w:cs="Arial"/>
                <w:b/>
                <w:color w:val="222222"/>
                <w:sz w:val="24"/>
                <w:szCs w:val="24"/>
                <w:lang w:eastAsia="pt-BR"/>
              </w:rPr>
              <w:t>Etapa Financeira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Saldo</w:t>
            </w:r>
          </w:p>
        </w:tc>
      </w:tr>
      <w:tr w:rsidR="00733C63" w:rsidTr="009E21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 – Saldo bancário anterior – fonte 01.000.00000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100.000,00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100.000,00</w:t>
            </w:r>
          </w:p>
        </w:tc>
      </w:tr>
      <w:tr w:rsidR="00733C63" w:rsidTr="009E21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 – Receita Realizada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1.000.000,00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1.100.000,00</w:t>
            </w:r>
          </w:p>
        </w:tc>
      </w:tr>
      <w:tr w:rsidR="00733C63" w:rsidTr="009E21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tabs>
                <w:tab w:val="center" w:pos="2794"/>
              </w:tabs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3. – Despesa Paga</w:t>
            </w: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ab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900.000,00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200.000,00</w:t>
            </w:r>
          </w:p>
        </w:tc>
      </w:tr>
      <w:tr w:rsidR="00733C63" w:rsidTr="009E21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tabs>
                <w:tab w:val="center" w:pos="2794"/>
              </w:tabs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4 -  Disponibilidade Bancária da Fonte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200.000,00</w:t>
            </w:r>
          </w:p>
        </w:tc>
      </w:tr>
    </w:tbl>
    <w:p w:rsidR="00733C63" w:rsidRDefault="00733C63" w:rsidP="00733C63">
      <w:pPr>
        <w:shd w:val="clear" w:color="auto" w:fill="FFFFFF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733C63" w:rsidRDefault="00733C63" w:rsidP="00733C63">
      <w:pPr>
        <w:shd w:val="clear" w:color="auto" w:fill="FFFFFF"/>
        <w:ind w:firstLine="360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938"/>
        <w:gridCol w:w="1624"/>
        <w:gridCol w:w="1932"/>
      </w:tblGrid>
      <w:tr w:rsidR="00733C63" w:rsidTr="009E214D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Pr="009E214D" w:rsidRDefault="00733C63" w:rsidP="00733C63">
            <w:pPr>
              <w:jc w:val="both"/>
              <w:rPr>
                <w:rFonts w:ascii="Verdana" w:eastAsia="Times New Roman" w:hAnsi="Verdana" w:cs="Arial"/>
                <w:b/>
                <w:color w:val="222222"/>
                <w:sz w:val="24"/>
                <w:szCs w:val="24"/>
                <w:lang w:eastAsia="pt-BR"/>
              </w:rPr>
            </w:pPr>
            <w:r w:rsidRPr="009E214D">
              <w:rPr>
                <w:rFonts w:ascii="Verdana" w:eastAsia="Times New Roman" w:hAnsi="Verdana" w:cs="Arial"/>
                <w:b/>
                <w:color w:val="222222"/>
                <w:sz w:val="24"/>
                <w:szCs w:val="24"/>
                <w:lang w:eastAsia="pt-BR"/>
              </w:rPr>
              <w:t xml:space="preserve">Etapa </w:t>
            </w:r>
            <w:proofErr w:type="spellStart"/>
            <w:r w:rsidRPr="009E214D">
              <w:rPr>
                <w:rFonts w:ascii="Verdana" w:eastAsia="Times New Roman" w:hAnsi="Verdana" w:cs="Arial"/>
                <w:b/>
                <w:color w:val="222222"/>
                <w:sz w:val="24"/>
                <w:szCs w:val="24"/>
                <w:lang w:eastAsia="pt-BR"/>
              </w:rPr>
              <w:t>Superavit</w:t>
            </w:r>
            <w:proofErr w:type="spellEnd"/>
            <w:r w:rsidRPr="009E214D">
              <w:rPr>
                <w:rFonts w:ascii="Verdana" w:eastAsia="Times New Roman" w:hAnsi="Verdana" w:cs="Arial"/>
                <w:b/>
                <w:color w:val="222222"/>
                <w:sz w:val="24"/>
                <w:szCs w:val="24"/>
                <w:lang w:eastAsia="pt-BR"/>
              </w:rPr>
              <w:t>/Déficit Financeiro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Saldo</w:t>
            </w:r>
          </w:p>
        </w:tc>
      </w:tr>
      <w:tr w:rsidR="00733C63" w:rsidTr="009E214D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 – Disponibilidade Bancária da Fonte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200.000,00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200.000,00</w:t>
            </w:r>
          </w:p>
        </w:tc>
      </w:tr>
      <w:tr w:rsidR="00733C63" w:rsidTr="009E214D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 – Ativos circulantes financeiros (Sal Família, maternidade... 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210.000,00</w:t>
            </w:r>
          </w:p>
        </w:tc>
      </w:tr>
      <w:tr w:rsidR="00733C63" w:rsidTr="009E214D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3. – Passivos circulantes financeiros processados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(-) 150.000,00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60.000,00</w:t>
            </w:r>
          </w:p>
        </w:tc>
      </w:tr>
      <w:tr w:rsidR="00733C63" w:rsidTr="009E214D"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 xml:space="preserve">4 – Passivos circulantes financeiros não processados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(-) 50.000,00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10.000,00</w:t>
            </w:r>
          </w:p>
        </w:tc>
      </w:tr>
    </w:tbl>
    <w:p w:rsidR="00733C63" w:rsidRDefault="00733C63" w:rsidP="00733C63">
      <w:pPr>
        <w:shd w:val="clear" w:color="auto" w:fill="FFFFFF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lastRenderedPageBreak/>
        <w:t xml:space="preserve">Baseado nesse conceito, não faz sentido criar uma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combinação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para uma nova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fonte de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 xml:space="preserve">recursos, 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sem que haja 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 xml:space="preserve">origem 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(receita) para uma suposta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despesa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. </w:t>
      </w:r>
    </w:p>
    <w:p w:rsidR="00733C63" w:rsidRDefault="00733C63" w:rsidP="00733C63">
      <w:pPr>
        <w:shd w:val="clear" w:color="auto" w:fill="FFFFFF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O sistema possibilita que uma </w:t>
      </w:r>
      <w:r w:rsidRPr="009E214D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única receita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 possa ter mais que uma </w:t>
      </w:r>
      <w:r w:rsidRPr="009E214D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fonte de recursos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, definida em </w:t>
      </w:r>
      <w:r w:rsidRPr="009E214D"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percentual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, como exemplo:</w:t>
      </w:r>
    </w:p>
    <w:p w:rsidR="00733C63" w:rsidRDefault="00733C63" w:rsidP="00733C63">
      <w:pPr>
        <w:shd w:val="clear" w:color="auto" w:fill="FFFFFF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Receita 171801210000 – Fundo de Parti</w:t>
      </w:r>
      <w:r w:rsidR="009E214D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 xml:space="preserve">cipação dos Municípios – FPM R$ </w:t>
      </w: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100.000,00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843"/>
        <w:gridCol w:w="2820"/>
        <w:gridCol w:w="2831"/>
      </w:tblGrid>
      <w:tr w:rsidR="00733C63" w:rsidTr="009E214D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Fonte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Percentual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both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Valor</w:t>
            </w:r>
          </w:p>
        </w:tc>
      </w:tr>
      <w:tr w:rsidR="00733C63" w:rsidTr="00733C6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01.000.0000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60,00%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60.000,00</w:t>
            </w:r>
          </w:p>
        </w:tc>
      </w:tr>
      <w:tr w:rsidR="00733C63" w:rsidTr="00733C6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01.001.0046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6,00%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6.000,00</w:t>
            </w:r>
          </w:p>
        </w:tc>
      </w:tr>
      <w:tr w:rsidR="00733C63" w:rsidTr="00733C6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01.001.0067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5,00%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5.000,00</w:t>
            </w:r>
          </w:p>
        </w:tc>
      </w:tr>
      <w:tr w:rsidR="00733C63" w:rsidTr="00733C6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01.001.0080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2,00%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2.000,00</w:t>
            </w:r>
          </w:p>
        </w:tc>
      </w:tr>
      <w:tr w:rsidR="00733C63" w:rsidTr="00733C6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01.001.0083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2,00%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2.000,00</w:t>
            </w:r>
          </w:p>
        </w:tc>
      </w:tr>
      <w:tr w:rsidR="00733C63" w:rsidTr="00733C6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01.001.0075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10,00%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10.000,00</w:t>
            </w:r>
          </w:p>
        </w:tc>
      </w:tr>
      <w:tr w:rsidR="00733C63" w:rsidTr="00733C6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01.002.0047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15,00%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63" w:rsidRDefault="00733C63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15.000,00</w:t>
            </w:r>
          </w:p>
        </w:tc>
      </w:tr>
      <w:tr w:rsidR="009E214D" w:rsidTr="00E83AB6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D" w:rsidRDefault="009E214D" w:rsidP="00733C63">
            <w:pPr>
              <w:jc w:val="center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4D" w:rsidRDefault="009E214D" w:rsidP="00733C63">
            <w:pPr>
              <w:jc w:val="right"/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222222"/>
                <w:sz w:val="24"/>
                <w:szCs w:val="24"/>
                <w:lang w:eastAsia="pt-BR"/>
              </w:rPr>
              <w:t>100.000,00</w:t>
            </w:r>
          </w:p>
        </w:tc>
      </w:tr>
    </w:tbl>
    <w:p w:rsidR="00733C63" w:rsidRDefault="00733C63" w:rsidP="00733C63">
      <w:pPr>
        <w:shd w:val="clear" w:color="auto" w:fill="FFFFFF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br w:type="textWrapping" w:clear="all"/>
      </w: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Portanto, somente se previsto na receita, poderá haver a despesa com a mesma fonte de recursos.</w:t>
      </w:r>
    </w:p>
    <w:p w:rsidR="00733C63" w:rsidRDefault="00733C63" w:rsidP="00733C63">
      <w:pPr>
        <w:shd w:val="clear" w:color="auto" w:fill="FFFFFF"/>
        <w:jc w:val="both"/>
        <w:rPr>
          <w:rFonts w:ascii="Verdana" w:hAnsi="Verdana"/>
          <w:noProof/>
          <w:sz w:val="24"/>
          <w:szCs w:val="24"/>
        </w:rPr>
      </w:pP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Caso não seguirmos esse conceito, teremos problemas em gerar as informações automaticas dos anexos abaixo:</w:t>
      </w:r>
    </w:p>
    <w:p w:rsidR="00733C63" w:rsidRDefault="00733C63" w:rsidP="00733C63">
      <w:pPr>
        <w:shd w:val="clear" w:color="auto" w:fill="FFFFFF"/>
        <w:jc w:val="both"/>
        <w:rPr>
          <w:rFonts w:ascii="Verdana" w:hAnsi="Verdana"/>
          <w:noProof/>
          <w:sz w:val="24"/>
          <w:szCs w:val="24"/>
        </w:rPr>
      </w:pPr>
    </w:p>
    <w:p w:rsidR="00733C63" w:rsidRDefault="00733C63" w:rsidP="00733C63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Balanço Orçamentário – Não emitirá corretamente as informações relacionadas ao creditos adicionais, execução da despesa e pagamentos relacionados a </w:t>
      </w:r>
      <w:r>
        <w:rPr>
          <w:rFonts w:ascii="Verdana" w:hAnsi="Verdana"/>
          <w:b/>
          <w:noProof/>
          <w:sz w:val="24"/>
          <w:szCs w:val="24"/>
        </w:rPr>
        <w:t>superávit financeiro</w:t>
      </w:r>
      <w:r>
        <w:rPr>
          <w:rFonts w:ascii="Verdana" w:hAnsi="Verdana"/>
          <w:noProof/>
          <w:sz w:val="24"/>
          <w:szCs w:val="24"/>
        </w:rPr>
        <w:t>.</w:t>
      </w:r>
    </w:p>
    <w:p w:rsidR="00733C63" w:rsidRDefault="00733C63" w:rsidP="00733C63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Balanço Patrimonial – Não haverá a possibilidade de emitr a pagina de </w:t>
      </w:r>
      <w:r>
        <w:rPr>
          <w:rFonts w:ascii="Verdana" w:eastAsia="Times New Roman" w:hAnsi="Verdana" w:cs="Arial"/>
          <w:b/>
          <w:color w:val="222222"/>
          <w:sz w:val="24"/>
          <w:szCs w:val="24"/>
          <w:lang w:eastAsia="pt-BR"/>
        </w:rPr>
        <w:t>Superávit/Déficit Financeiro.</w:t>
      </w:r>
    </w:p>
    <w:p w:rsidR="00733C63" w:rsidRDefault="00733C63" w:rsidP="00733C63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Não será possivel efetuar o acompanhemnto do desembolso por fonte de recuros, onde o sistema emitirá o relatório 4.2.18 – Receita e Despesa por Fonte, que vai poder sugerir ao planejmento e os demais órgãos de controle, as fontes que necessitam de mais orçamento e as que necesitam de </w:t>
      </w:r>
      <w:r>
        <w:rPr>
          <w:rFonts w:ascii="Verdana" w:hAnsi="Verdana"/>
          <w:b/>
          <w:noProof/>
          <w:sz w:val="24"/>
          <w:szCs w:val="24"/>
        </w:rPr>
        <w:t>limitação de emepnho</w:t>
      </w:r>
      <w:r>
        <w:rPr>
          <w:rFonts w:ascii="Verdana" w:hAnsi="Verdana"/>
          <w:noProof/>
          <w:sz w:val="24"/>
          <w:szCs w:val="24"/>
        </w:rPr>
        <w:t>.</w:t>
      </w:r>
    </w:p>
    <w:p w:rsidR="00733C63" w:rsidRDefault="00733C63" w:rsidP="00733C63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Instrução Normativa 22 – Relatórios da Educação e Saúde, que são parametrizadas para buscar as fontes de recursos.</w:t>
      </w:r>
    </w:p>
    <w:p w:rsidR="00733C63" w:rsidRDefault="00733C63" w:rsidP="00733C63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LRF – Emissão dos anexos da Educação e Saúde.</w:t>
      </w:r>
    </w:p>
    <w:p w:rsidR="00733C63" w:rsidRDefault="00733C63" w:rsidP="00733C63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SIOPS e SIOPE – Geração dos arquivos para importação.</w:t>
      </w:r>
    </w:p>
    <w:p w:rsidR="00733C63" w:rsidRDefault="00733C63" w:rsidP="00733C63">
      <w:pPr>
        <w:pStyle w:val="PargrafodaLista"/>
        <w:shd w:val="clear" w:color="auto" w:fill="FFFFFF"/>
        <w:jc w:val="both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Entre outros.</w:t>
      </w:r>
    </w:p>
    <w:p w:rsidR="00A177BC" w:rsidRPr="00A177BC" w:rsidRDefault="00A177BC" w:rsidP="00A177BC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MSC – Matrizes de saldos contábeis</w:t>
      </w:r>
    </w:p>
    <w:p w:rsidR="00733C63" w:rsidRDefault="00733C63" w:rsidP="00733C63">
      <w:pPr>
        <w:shd w:val="clear" w:color="auto" w:fill="FFFFFF"/>
        <w:jc w:val="both"/>
        <w:rPr>
          <w:rFonts w:ascii="Verdana" w:hAnsi="Verdana"/>
          <w:noProof/>
          <w:sz w:val="24"/>
          <w:szCs w:val="24"/>
        </w:rPr>
      </w:pP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t>Para as entidades terem informações da execução da despesa ou separar despesas em ações mais resumidas, o sistema oferece outras possibilidades, tipo:</w:t>
      </w:r>
    </w:p>
    <w:p w:rsidR="00733C63" w:rsidRDefault="00733C63" w:rsidP="00733C63">
      <w:pPr>
        <w:shd w:val="clear" w:color="auto" w:fill="FFFFFF"/>
        <w:jc w:val="both"/>
        <w:rPr>
          <w:rFonts w:ascii="Verdana" w:hAnsi="Verdana"/>
          <w:noProof/>
          <w:sz w:val="24"/>
          <w:szCs w:val="24"/>
        </w:rPr>
      </w:pP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Para levantamento da execução</w:t>
      </w:r>
      <w:r>
        <w:rPr>
          <w:rFonts w:ascii="Verdana" w:hAnsi="Verdana"/>
          <w:noProof/>
          <w:sz w:val="24"/>
          <w:szCs w:val="24"/>
        </w:rPr>
        <w:t xml:space="preserve"> – Temos relatórios por </w:t>
      </w:r>
      <w:r>
        <w:rPr>
          <w:rFonts w:ascii="Verdana" w:hAnsi="Verdana"/>
          <w:b/>
          <w:noProof/>
          <w:sz w:val="24"/>
          <w:szCs w:val="24"/>
        </w:rPr>
        <w:t>desdobramento de despesa</w:t>
      </w:r>
      <w:r>
        <w:rPr>
          <w:rFonts w:ascii="Verdana" w:hAnsi="Verdana"/>
          <w:noProof/>
          <w:sz w:val="24"/>
          <w:szCs w:val="24"/>
        </w:rPr>
        <w:t>, onde poderá ser consultado as depesas de uma elemento, tipo o que foi empenhado, liquidado ou pago de publicidade, por exemplo.</w:t>
      </w: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Para solicitação de despesas</w:t>
      </w:r>
      <w:r>
        <w:rPr>
          <w:rFonts w:ascii="Verdana" w:hAnsi="Verdana"/>
          <w:noProof/>
          <w:sz w:val="24"/>
          <w:szCs w:val="24"/>
        </w:rPr>
        <w:t xml:space="preserve"> – Poderá ser efetuada as solicitações e apontado </w:t>
      </w:r>
      <w:r>
        <w:rPr>
          <w:rFonts w:ascii="Verdana" w:hAnsi="Verdana"/>
          <w:b/>
          <w:noProof/>
          <w:sz w:val="24"/>
          <w:szCs w:val="24"/>
        </w:rPr>
        <w:t>centro de custos</w:t>
      </w:r>
      <w:r>
        <w:rPr>
          <w:rFonts w:ascii="Verdana" w:hAnsi="Verdana"/>
          <w:noProof/>
          <w:sz w:val="24"/>
          <w:szCs w:val="24"/>
        </w:rPr>
        <w:t xml:space="preserve">. Por exemplo, na ação Piso de Atenção Basica – Variável, poderá ser criado um centro de custo dos Médidos da Família, das UBS, e outros centros de custos que a entidade desejar, para levantamento de despesas dentro de uma única ação. O que não é plausível querer controlar isso na </w:t>
      </w:r>
      <w:r>
        <w:rPr>
          <w:rFonts w:ascii="Verdana" w:hAnsi="Verdana"/>
          <w:b/>
          <w:noProof/>
          <w:sz w:val="24"/>
          <w:szCs w:val="24"/>
        </w:rPr>
        <w:t>fonte de recursos.</w:t>
      </w:r>
    </w:p>
    <w:p w:rsidR="00733C63" w:rsidRDefault="00733C63" w:rsidP="00733C63">
      <w:pPr>
        <w:shd w:val="clear" w:color="auto" w:fill="FFFFFF"/>
        <w:jc w:val="both"/>
        <w:rPr>
          <w:rFonts w:ascii="Verdana" w:hAnsi="Verdana"/>
          <w:b/>
          <w:noProof/>
          <w:sz w:val="24"/>
          <w:szCs w:val="24"/>
        </w:rPr>
      </w:pP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Portanto, necessitamos que os contadores, que tem entendimento dif</w:t>
      </w:r>
      <w:r w:rsidR="009E214D">
        <w:rPr>
          <w:rFonts w:ascii="Verdana" w:hAnsi="Verdana"/>
          <w:b/>
          <w:noProof/>
          <w:sz w:val="24"/>
          <w:szCs w:val="24"/>
        </w:rPr>
        <w:t>erente do nosso (BETTER/ELOTECH)</w:t>
      </w:r>
      <w:r>
        <w:rPr>
          <w:rFonts w:ascii="Verdana" w:hAnsi="Verdana"/>
          <w:b/>
          <w:noProof/>
          <w:sz w:val="24"/>
          <w:szCs w:val="24"/>
        </w:rPr>
        <w:t>, deverão se posicionar, para que saibam que, sem essa padronização, terão dificuldade extrarir as informações corretamente, principalemtne para os itens acima relacinados, entre outros.</w:t>
      </w:r>
    </w:p>
    <w:p w:rsidR="009E214D" w:rsidRDefault="009E214D" w:rsidP="009E214D">
      <w:pPr>
        <w:shd w:val="clear" w:color="auto" w:fill="FFFFFF"/>
        <w:ind w:firstLine="1701"/>
        <w:jc w:val="both"/>
        <w:rPr>
          <w:rFonts w:ascii="Verdana" w:hAnsi="Verdana"/>
          <w:b/>
          <w:noProof/>
          <w:sz w:val="24"/>
          <w:szCs w:val="24"/>
        </w:rPr>
      </w:pPr>
    </w:p>
    <w:p w:rsidR="00662018" w:rsidRDefault="00662018" w:rsidP="009E214D">
      <w:pPr>
        <w:shd w:val="clear" w:color="auto" w:fill="FFFFFF"/>
        <w:ind w:firstLine="1701"/>
        <w:jc w:val="both"/>
        <w:rPr>
          <w:rFonts w:ascii="Verdana" w:hAnsi="Verdana"/>
          <w:b/>
          <w:noProof/>
          <w:sz w:val="24"/>
          <w:szCs w:val="24"/>
        </w:rPr>
      </w:pPr>
      <w:bookmarkStart w:id="0" w:name="_GoBack"/>
      <w:bookmarkEnd w:id="0"/>
    </w:p>
    <w:p w:rsidR="00733C63" w:rsidRDefault="00733C63" w:rsidP="00733C63">
      <w:pPr>
        <w:shd w:val="clear" w:color="auto" w:fill="FFFFFF"/>
        <w:jc w:val="both"/>
        <w:rPr>
          <w:rFonts w:ascii="Verdana" w:hAnsi="Verdana"/>
          <w:b/>
          <w:noProof/>
          <w:sz w:val="24"/>
          <w:szCs w:val="24"/>
        </w:rPr>
      </w:pPr>
    </w:p>
    <w:p w:rsidR="00733C63" w:rsidRDefault="00733C63" w:rsidP="009E214D">
      <w:pPr>
        <w:shd w:val="clear" w:color="auto" w:fill="FFFFFF"/>
        <w:ind w:firstLine="1701"/>
        <w:jc w:val="both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Aguardamos manifestações.</w:t>
      </w:r>
    </w:p>
    <w:p w:rsidR="00733C63" w:rsidRDefault="00733C63" w:rsidP="00733C63">
      <w:pPr>
        <w:shd w:val="clear" w:color="auto" w:fill="FFFFFF"/>
        <w:jc w:val="both"/>
        <w:rPr>
          <w:rFonts w:ascii="Verdana" w:hAnsi="Verdana"/>
          <w:b/>
          <w:noProof/>
          <w:sz w:val="24"/>
          <w:szCs w:val="24"/>
        </w:rPr>
      </w:pPr>
    </w:p>
    <w:p w:rsidR="00733C63" w:rsidRDefault="00733C63" w:rsidP="00733C63">
      <w:pPr>
        <w:shd w:val="clear" w:color="auto" w:fill="FFFFFF"/>
        <w:ind w:firstLine="360"/>
        <w:jc w:val="both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</w:p>
    <w:p w:rsidR="00733C63" w:rsidRDefault="00733C63" w:rsidP="00733C63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733C63" w:rsidRDefault="00733C63" w:rsidP="00733C63">
      <w:pPr>
        <w:jc w:val="center"/>
        <w:rPr>
          <w:rFonts w:ascii="Verdana" w:eastAsiaTheme="minorEastAsia" w:hAnsi="Verdana"/>
          <w:noProof/>
          <w:sz w:val="24"/>
          <w:szCs w:val="24"/>
          <w:lang w:eastAsia="pt-BR"/>
        </w:rPr>
      </w:pPr>
      <w:bookmarkStart w:id="1" w:name="_MailAutoSig"/>
      <w:r>
        <w:rPr>
          <w:rFonts w:ascii="Verdana" w:eastAsiaTheme="minorEastAsia" w:hAnsi="Verdana"/>
          <w:noProof/>
          <w:sz w:val="24"/>
          <w:szCs w:val="24"/>
          <w:lang w:eastAsia="pt-BR"/>
        </w:rPr>
        <w:t>Luiz Paulo Trevisan</w:t>
      </w:r>
    </w:p>
    <w:p w:rsidR="00733C63" w:rsidRDefault="00733C63" w:rsidP="00733C63">
      <w:pPr>
        <w:jc w:val="center"/>
        <w:rPr>
          <w:rFonts w:ascii="Verdana" w:eastAsiaTheme="minorEastAsia" w:hAnsi="Verdana"/>
          <w:noProof/>
          <w:sz w:val="24"/>
          <w:szCs w:val="24"/>
          <w:lang w:eastAsia="pt-BR"/>
        </w:rPr>
      </w:pPr>
      <w:r>
        <w:rPr>
          <w:rFonts w:ascii="Verdana" w:eastAsiaTheme="minorEastAsia" w:hAnsi="Verdana"/>
          <w:noProof/>
          <w:sz w:val="24"/>
          <w:szCs w:val="24"/>
          <w:lang w:eastAsia="pt-BR"/>
        </w:rPr>
        <w:t>Better Tech</w:t>
      </w:r>
    </w:p>
    <w:p w:rsidR="00733C63" w:rsidRDefault="00733C63" w:rsidP="00733C63">
      <w:pPr>
        <w:jc w:val="center"/>
        <w:rPr>
          <w:rFonts w:ascii="Verdana" w:eastAsiaTheme="minorEastAsia" w:hAnsi="Verdana"/>
          <w:noProof/>
          <w:sz w:val="24"/>
          <w:szCs w:val="24"/>
          <w:lang w:eastAsia="pt-BR"/>
        </w:rPr>
      </w:pPr>
      <w:r>
        <w:rPr>
          <w:rFonts w:ascii="Verdana" w:eastAsiaTheme="minorEastAsia" w:hAnsi="Verdana"/>
          <w:noProof/>
          <w:sz w:val="24"/>
          <w:szCs w:val="24"/>
          <w:lang w:eastAsia="pt-BR"/>
        </w:rPr>
        <w:t>Fone/ZAP</w:t>
      </w:r>
    </w:p>
    <w:p w:rsidR="00733C63" w:rsidRDefault="00733C63" w:rsidP="00733C63">
      <w:pPr>
        <w:jc w:val="center"/>
        <w:rPr>
          <w:rFonts w:ascii="Verdana" w:eastAsiaTheme="minorEastAsia" w:hAnsi="Verdana"/>
          <w:noProof/>
          <w:sz w:val="24"/>
          <w:szCs w:val="24"/>
          <w:lang w:eastAsia="pt-BR"/>
        </w:rPr>
      </w:pPr>
      <w:r>
        <w:rPr>
          <w:rFonts w:ascii="Verdana" w:eastAsiaTheme="minorEastAsia" w:hAnsi="Verdana"/>
          <w:noProof/>
          <w:sz w:val="24"/>
          <w:szCs w:val="24"/>
          <w:lang w:eastAsia="pt-BR"/>
        </w:rPr>
        <w:t>69 98401.5520</w:t>
      </w:r>
    </w:p>
    <w:p w:rsidR="00733C63" w:rsidRDefault="00733C63" w:rsidP="00733C63">
      <w:pPr>
        <w:jc w:val="center"/>
        <w:rPr>
          <w:rFonts w:ascii="Verdana" w:eastAsiaTheme="minorEastAsia" w:hAnsi="Verdana"/>
          <w:noProof/>
          <w:sz w:val="24"/>
          <w:szCs w:val="24"/>
          <w:lang w:eastAsia="pt-BR"/>
        </w:rPr>
      </w:pPr>
      <w:r>
        <w:rPr>
          <w:rFonts w:ascii="Verdana" w:eastAsiaTheme="minorEastAsia" w:hAnsi="Verdana"/>
          <w:noProof/>
          <w:sz w:val="24"/>
          <w:szCs w:val="24"/>
          <w:lang w:eastAsia="pt-BR"/>
        </w:rPr>
        <w:t>69 98116.3132</w:t>
      </w:r>
    </w:p>
    <w:bookmarkEnd w:id="1"/>
    <w:p w:rsidR="00733C63" w:rsidRDefault="00733C63" w:rsidP="00733C63">
      <w:pPr>
        <w:jc w:val="both"/>
        <w:rPr>
          <w:rFonts w:ascii="Verdana" w:hAnsi="Verdana"/>
          <w:sz w:val="24"/>
          <w:szCs w:val="24"/>
        </w:rPr>
      </w:pPr>
    </w:p>
    <w:p w:rsidR="00E1549F" w:rsidRDefault="00E1549F" w:rsidP="00733C63">
      <w:pPr>
        <w:jc w:val="both"/>
      </w:pPr>
    </w:p>
    <w:sectPr w:rsidR="00E1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898"/>
    <w:multiLevelType w:val="hybridMultilevel"/>
    <w:tmpl w:val="219CB158"/>
    <w:lvl w:ilvl="0" w:tplc="752EC208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24A5"/>
    <w:multiLevelType w:val="hybridMultilevel"/>
    <w:tmpl w:val="419672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662018"/>
    <w:rsid w:val="00733C63"/>
    <w:rsid w:val="009E214D"/>
    <w:rsid w:val="00A177BC"/>
    <w:rsid w:val="00BC1CFB"/>
    <w:rsid w:val="00E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8431"/>
  <w15:chartTrackingRefBased/>
  <w15:docId w15:val="{65C21138-206D-423F-A245-EE99776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C63"/>
    <w:pPr>
      <w:ind w:left="720"/>
    </w:pPr>
  </w:style>
  <w:style w:type="table" w:styleId="Tabelacomgrade">
    <w:name w:val="Table Grid"/>
    <w:basedOn w:val="Tabelanormal"/>
    <w:uiPriority w:val="39"/>
    <w:rsid w:val="00733C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3</cp:revision>
  <dcterms:created xsi:type="dcterms:W3CDTF">2018-08-23T20:40:00Z</dcterms:created>
  <dcterms:modified xsi:type="dcterms:W3CDTF">2019-04-04T19:15:00Z</dcterms:modified>
</cp:coreProperties>
</file>