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6F" w:rsidRPr="00D85ACF" w:rsidRDefault="000F4A6F" w:rsidP="000D40D6">
      <w:pPr>
        <w:spacing w:after="0"/>
        <w:ind w:right="441"/>
        <w:jc w:val="both"/>
        <w:rPr>
          <w:rFonts w:cstheme="minorHAnsi"/>
        </w:rPr>
      </w:pPr>
    </w:p>
    <w:p w:rsidR="000F4A6F" w:rsidRPr="00D85ACF" w:rsidRDefault="000F4A6F" w:rsidP="00EE1EC5">
      <w:pPr>
        <w:spacing w:after="0"/>
        <w:ind w:right="441"/>
        <w:jc w:val="center"/>
        <w:rPr>
          <w:rFonts w:cstheme="minorHAnsi"/>
        </w:rPr>
      </w:pPr>
      <w:r w:rsidRPr="00D85ACF">
        <w:rPr>
          <w:rFonts w:cstheme="minorHAnsi"/>
        </w:rPr>
        <w:t>INSTRUÇÃO NORMATIVA Nº 000/2019.</w:t>
      </w:r>
    </w:p>
    <w:p w:rsidR="000F4A6F" w:rsidRPr="00D85ACF" w:rsidRDefault="000F4A6F" w:rsidP="000D40D6">
      <w:pPr>
        <w:spacing w:after="0"/>
        <w:ind w:right="441"/>
        <w:jc w:val="both"/>
        <w:rPr>
          <w:rFonts w:cstheme="minorHAnsi"/>
        </w:rPr>
      </w:pPr>
    </w:p>
    <w:p w:rsidR="000F4A6F" w:rsidRPr="00D85ACF" w:rsidRDefault="000F4A6F" w:rsidP="000D40D6">
      <w:pPr>
        <w:spacing w:after="0"/>
        <w:ind w:left="4395" w:right="441"/>
        <w:jc w:val="both"/>
        <w:rPr>
          <w:rFonts w:cstheme="minorHAnsi"/>
        </w:rPr>
      </w:pPr>
      <w:r w:rsidRPr="00D85ACF">
        <w:rPr>
          <w:rFonts w:cstheme="minorHAnsi"/>
        </w:rPr>
        <w:t xml:space="preserve">O Controle Interno do Município de .............. no uso das atribuições que lhe confere, dispõe sobre os procedimentos gerais para </w:t>
      </w:r>
      <w:r w:rsidR="00A548C3" w:rsidRPr="00D85ACF">
        <w:rPr>
          <w:rFonts w:cstheme="minorHAnsi"/>
        </w:rPr>
        <w:t>alterações orçamentárias da LOA, mediante Créditos Adicionais e Reformulações Administrativas</w:t>
      </w:r>
      <w:r w:rsidRPr="00D85ACF">
        <w:rPr>
          <w:rFonts w:cstheme="minorHAnsi"/>
        </w:rPr>
        <w:t>, no âmbito do Poder Executivo do Município</w:t>
      </w:r>
      <w:r w:rsidR="00967742" w:rsidRPr="00D85ACF">
        <w:rPr>
          <w:rFonts w:cstheme="minorHAnsi"/>
        </w:rPr>
        <w:t xml:space="preserve"> e suas Administrações Diretas e Indiretas</w:t>
      </w:r>
      <w:r w:rsidRPr="00D85ACF">
        <w:rPr>
          <w:rFonts w:cstheme="minorHAnsi"/>
        </w:rPr>
        <w:t>.</w:t>
      </w:r>
    </w:p>
    <w:p w:rsidR="000F4A6F" w:rsidRPr="00D85ACF" w:rsidRDefault="000F4A6F" w:rsidP="000D40D6">
      <w:pPr>
        <w:spacing w:after="0"/>
        <w:ind w:right="441"/>
        <w:jc w:val="both"/>
        <w:rPr>
          <w:rFonts w:cstheme="minorHAnsi"/>
        </w:rPr>
      </w:pPr>
    </w:p>
    <w:p w:rsidR="000F4A6F" w:rsidRPr="00D85ACF" w:rsidRDefault="000F4A6F" w:rsidP="000D40D6">
      <w:pPr>
        <w:spacing w:after="0"/>
        <w:ind w:right="441"/>
        <w:jc w:val="both"/>
        <w:rPr>
          <w:rFonts w:cstheme="minorHAnsi"/>
        </w:rPr>
      </w:pPr>
    </w:p>
    <w:p w:rsidR="000F4A6F" w:rsidRPr="00D85ACF" w:rsidRDefault="000F4A6F" w:rsidP="000D40D6">
      <w:pPr>
        <w:spacing w:after="0"/>
        <w:ind w:right="441"/>
        <w:jc w:val="both"/>
        <w:rPr>
          <w:rFonts w:cstheme="minorHAnsi"/>
        </w:rPr>
      </w:pPr>
    </w:p>
    <w:p w:rsidR="00967742" w:rsidRPr="00D85ACF" w:rsidRDefault="00967742" w:rsidP="000D40D6">
      <w:pPr>
        <w:shd w:val="clear" w:color="auto" w:fill="FFFFFF"/>
        <w:spacing w:after="225" w:line="240" w:lineRule="auto"/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>O Controle Interno, no uso de suas atribuições e considerando a legislação vigente, resolve:</w:t>
      </w:r>
    </w:p>
    <w:p w:rsidR="00967742" w:rsidRPr="00D85ACF" w:rsidRDefault="00967742" w:rsidP="000D40D6">
      <w:pPr>
        <w:shd w:val="clear" w:color="auto" w:fill="FFFFFF"/>
        <w:spacing w:after="225" w:line="240" w:lineRule="auto"/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Expedir a presente Instrução Normativa (IN), visando regulamentar os procedimentos </w:t>
      </w:r>
      <w:r w:rsidR="0038340B" w:rsidRPr="00D85ACF">
        <w:rPr>
          <w:rFonts w:eastAsia="Times New Roman" w:cstheme="minorHAnsi"/>
          <w:noProof w:val="0"/>
          <w:color w:val="334152"/>
          <w:lang w:eastAsia="pt-BR"/>
        </w:rPr>
        <w:t xml:space="preserve">para as </w:t>
      </w:r>
      <w:r w:rsidR="003359EC" w:rsidRPr="00D85ACF">
        <w:rPr>
          <w:rFonts w:eastAsia="Times New Roman" w:cstheme="minorHAnsi"/>
          <w:noProof w:val="0"/>
          <w:color w:val="334152"/>
          <w:lang w:eastAsia="pt-BR"/>
        </w:rPr>
        <w:t>a</w:t>
      </w:r>
      <w:r w:rsidR="0038340B" w:rsidRPr="00D85ACF">
        <w:rPr>
          <w:rFonts w:eastAsia="Times New Roman" w:cstheme="minorHAnsi"/>
          <w:noProof w:val="0"/>
          <w:color w:val="334152"/>
          <w:lang w:eastAsia="pt-BR"/>
        </w:rPr>
        <w:t xml:space="preserve">lterações </w:t>
      </w:r>
      <w:r w:rsidR="003359EC" w:rsidRPr="00D85ACF">
        <w:rPr>
          <w:rFonts w:eastAsia="Times New Roman" w:cstheme="minorHAnsi"/>
          <w:noProof w:val="0"/>
          <w:color w:val="334152"/>
          <w:lang w:eastAsia="pt-BR"/>
        </w:rPr>
        <w:t>o</w:t>
      </w:r>
      <w:r w:rsidR="0038340B" w:rsidRPr="00D85ACF">
        <w:rPr>
          <w:rFonts w:eastAsia="Times New Roman" w:cstheme="minorHAnsi"/>
          <w:noProof w:val="0"/>
          <w:color w:val="334152"/>
          <w:lang w:eastAsia="pt-BR"/>
        </w:rPr>
        <w:t xml:space="preserve">rçamentárias referentes </w:t>
      </w:r>
      <w:r w:rsidR="003359EC" w:rsidRPr="00D85ACF">
        <w:rPr>
          <w:rFonts w:eastAsia="Times New Roman" w:cstheme="minorHAnsi"/>
          <w:noProof w:val="0"/>
          <w:color w:val="334152"/>
          <w:lang w:eastAsia="pt-BR"/>
        </w:rPr>
        <w:t>a L</w:t>
      </w:r>
      <w:r w:rsidR="00CF39D4" w:rsidRPr="00D85ACF">
        <w:rPr>
          <w:rFonts w:eastAsia="Times New Roman" w:cstheme="minorHAnsi"/>
          <w:noProof w:val="0"/>
          <w:color w:val="334152"/>
          <w:lang w:eastAsia="pt-BR"/>
        </w:rPr>
        <w:t>ei Orçamentária Anual</w:t>
      </w:r>
      <w:r w:rsidR="00130D94" w:rsidRPr="00D85ACF">
        <w:rPr>
          <w:rFonts w:eastAsia="Times New Roman" w:cstheme="minorHAnsi"/>
          <w:noProof w:val="0"/>
          <w:color w:val="334152"/>
          <w:lang w:eastAsia="pt-BR"/>
        </w:rPr>
        <w:t xml:space="preserve">, através de Créditos Adicionais Suplementares, Especiais e </w:t>
      </w:r>
      <w:r w:rsidR="009D263A" w:rsidRPr="00D85ACF">
        <w:rPr>
          <w:rFonts w:eastAsia="Times New Roman" w:cstheme="minorHAnsi"/>
          <w:noProof w:val="0"/>
          <w:color w:val="334152"/>
          <w:lang w:eastAsia="pt-BR"/>
        </w:rPr>
        <w:t xml:space="preserve">Extraordinários, </w:t>
      </w:r>
      <w:r w:rsidR="00130D94" w:rsidRPr="00D85ACF">
        <w:rPr>
          <w:rFonts w:eastAsia="Times New Roman" w:cstheme="minorHAnsi"/>
          <w:noProof w:val="0"/>
          <w:color w:val="334152"/>
          <w:lang w:eastAsia="pt-BR"/>
        </w:rPr>
        <w:t xml:space="preserve"> previstos</w:t>
      </w:r>
      <w:r w:rsidR="009D263A" w:rsidRPr="00D85ACF">
        <w:rPr>
          <w:rFonts w:eastAsia="Times New Roman" w:cstheme="minorHAnsi"/>
          <w:noProof w:val="0"/>
          <w:color w:val="334152"/>
          <w:lang w:eastAsia="pt-BR"/>
        </w:rPr>
        <w:t xml:space="preserve"> no</w:t>
      </w:r>
      <w:r w:rsidR="00DA2444" w:rsidRPr="00D85ACF">
        <w:rPr>
          <w:rFonts w:eastAsia="Times New Roman" w:cstheme="minorHAnsi"/>
          <w:noProof w:val="0"/>
          <w:color w:val="334152"/>
          <w:lang w:eastAsia="pt-BR"/>
        </w:rPr>
        <w:t>s</w:t>
      </w:r>
      <w:r w:rsidR="009D263A" w:rsidRPr="00D85ACF">
        <w:rPr>
          <w:rFonts w:eastAsia="Times New Roman" w:cstheme="minorHAnsi"/>
          <w:noProof w:val="0"/>
          <w:color w:val="334152"/>
          <w:lang w:eastAsia="pt-BR"/>
        </w:rPr>
        <w:t xml:space="preserve"> artigo</w:t>
      </w:r>
      <w:r w:rsidR="00DA2444" w:rsidRPr="00D85ACF">
        <w:rPr>
          <w:rFonts w:eastAsia="Times New Roman" w:cstheme="minorHAnsi"/>
          <w:noProof w:val="0"/>
          <w:color w:val="334152"/>
          <w:lang w:eastAsia="pt-BR"/>
        </w:rPr>
        <w:t>s 40 a 46, da Lei 4.320</w:t>
      </w:r>
      <w:r w:rsidR="00CF39D4" w:rsidRPr="00D85ACF">
        <w:rPr>
          <w:rFonts w:eastAsia="Times New Roman" w:cstheme="minorHAnsi"/>
          <w:noProof w:val="0"/>
          <w:color w:val="334152"/>
          <w:lang w:eastAsia="pt-BR"/>
        </w:rPr>
        <w:t xml:space="preserve"> de 17 de março de 1964 </w:t>
      </w:r>
      <w:r w:rsidR="009D263A" w:rsidRPr="00D85ACF"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CF39D4" w:rsidRPr="00D85ACF">
        <w:rPr>
          <w:rFonts w:eastAsia="Times New Roman" w:cstheme="minorHAnsi"/>
          <w:noProof w:val="0"/>
          <w:color w:val="334152"/>
          <w:lang w:eastAsia="pt-BR"/>
        </w:rPr>
        <w:t xml:space="preserve">e </w:t>
      </w:r>
      <w:r w:rsidR="00E6016D" w:rsidRPr="00D85ACF">
        <w:rPr>
          <w:rFonts w:eastAsia="Times New Roman" w:cstheme="minorHAnsi"/>
          <w:noProof w:val="0"/>
          <w:color w:val="334152"/>
          <w:lang w:eastAsia="pt-BR"/>
        </w:rPr>
        <w:t>através das Reformulações Administrativas de Transferência, Transposição e Remanejamento, previstos no artigo 167 da Constituição Federal de 1988.</w:t>
      </w:r>
    </w:p>
    <w:p w:rsidR="0038340B" w:rsidRPr="00D85ACF" w:rsidRDefault="0038340B" w:rsidP="000D40D6">
      <w:pPr>
        <w:shd w:val="clear" w:color="auto" w:fill="FFFFFF"/>
        <w:spacing w:after="225" w:line="240" w:lineRule="auto"/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38340B" w:rsidRPr="00D85ACF" w:rsidRDefault="0038340B" w:rsidP="0038340B">
      <w:pPr>
        <w:shd w:val="clear" w:color="auto" w:fill="FFFFFF"/>
        <w:spacing w:after="225" w:line="240" w:lineRule="auto"/>
        <w:jc w:val="center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>I - APRESENTAÇÃO</w:t>
      </w:r>
    </w:p>
    <w:p w:rsidR="00633C17" w:rsidRPr="00D85ACF" w:rsidRDefault="004E1EB0" w:rsidP="0038340B">
      <w:pPr>
        <w:shd w:val="clear" w:color="auto" w:fill="FFFFFF"/>
        <w:spacing w:after="225" w:line="240" w:lineRule="auto"/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>Art. 1º</w:t>
      </w:r>
      <w:r w:rsidR="0038340B" w:rsidRPr="00D85ACF"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3A7CCA" w:rsidRPr="00D85ACF">
        <w:rPr>
          <w:rFonts w:eastAsia="Times New Roman" w:cstheme="minorHAnsi"/>
          <w:noProof w:val="0"/>
          <w:color w:val="334152"/>
          <w:lang w:eastAsia="pt-BR"/>
        </w:rPr>
        <w:t xml:space="preserve">Cabe a Secretaria Municipal de Planejamento a responsabilidade de controlar, planejar e </w:t>
      </w:r>
      <w:r w:rsidR="00051FA6" w:rsidRPr="00D85ACF">
        <w:rPr>
          <w:rFonts w:eastAsia="Times New Roman" w:cstheme="minorHAnsi"/>
          <w:noProof w:val="0"/>
          <w:color w:val="334152"/>
          <w:lang w:eastAsia="pt-BR"/>
        </w:rPr>
        <w:t>optar pelo tipo de alteração orçamentária a ser efetuada, inclusive a verificar as autorizações legislativas</w:t>
      </w:r>
      <w:r w:rsidR="00633C17" w:rsidRPr="00D85ACF">
        <w:rPr>
          <w:rFonts w:eastAsia="Times New Roman" w:cstheme="minorHAnsi"/>
          <w:noProof w:val="0"/>
          <w:color w:val="334152"/>
          <w:lang w:eastAsia="pt-BR"/>
        </w:rPr>
        <w:t xml:space="preserve"> da </w:t>
      </w:r>
      <w:r w:rsidR="00051FA6" w:rsidRPr="00AB0864">
        <w:rPr>
          <w:rFonts w:eastAsia="Times New Roman" w:cstheme="minorHAnsi"/>
          <w:b/>
          <w:bCs/>
          <w:noProof w:val="0"/>
          <w:color w:val="334152"/>
          <w:lang w:eastAsia="pt-BR"/>
        </w:rPr>
        <w:t>Lei Orçamentária</w:t>
      </w:r>
      <w:r w:rsidR="00633C17" w:rsidRPr="00D85ACF">
        <w:rPr>
          <w:rFonts w:eastAsia="Times New Roman" w:cstheme="minorHAnsi"/>
          <w:noProof w:val="0"/>
          <w:color w:val="334152"/>
          <w:lang w:eastAsia="pt-BR"/>
        </w:rPr>
        <w:t xml:space="preserve"> ou a necessidade de </w:t>
      </w:r>
      <w:r w:rsidR="00633C17" w:rsidRPr="00AB0864">
        <w:rPr>
          <w:rFonts w:eastAsia="Times New Roman" w:cstheme="minorHAnsi"/>
          <w:b/>
          <w:bCs/>
          <w:noProof w:val="0"/>
          <w:color w:val="334152"/>
          <w:lang w:eastAsia="pt-BR"/>
        </w:rPr>
        <w:t>Lei Específica</w:t>
      </w:r>
      <w:r w:rsidR="00633C17" w:rsidRPr="00D85ACF">
        <w:rPr>
          <w:rFonts w:eastAsia="Times New Roman" w:cstheme="minorHAnsi"/>
          <w:noProof w:val="0"/>
          <w:color w:val="334152"/>
          <w:lang w:eastAsia="pt-BR"/>
        </w:rPr>
        <w:t>.</w:t>
      </w:r>
    </w:p>
    <w:p w:rsidR="00967742" w:rsidRPr="00D85ACF" w:rsidRDefault="003C563F" w:rsidP="00A90948">
      <w:pPr>
        <w:shd w:val="clear" w:color="auto" w:fill="FFFFFF"/>
        <w:spacing w:after="225" w:line="240" w:lineRule="auto"/>
        <w:jc w:val="center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>II</w:t>
      </w:r>
      <w:r w:rsidR="005618CF" w:rsidRPr="00D85ACF"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967742" w:rsidRPr="00D85ACF">
        <w:rPr>
          <w:rFonts w:eastAsia="Times New Roman" w:cstheme="minorHAnsi"/>
          <w:noProof w:val="0"/>
          <w:color w:val="334152"/>
          <w:lang w:eastAsia="pt-BR"/>
        </w:rPr>
        <w:t xml:space="preserve">– </w:t>
      </w:r>
      <w:r w:rsidR="005618CF" w:rsidRPr="00D85ACF">
        <w:rPr>
          <w:rFonts w:eastAsia="Times New Roman" w:cstheme="minorHAnsi"/>
          <w:noProof w:val="0"/>
          <w:color w:val="334152"/>
          <w:lang w:eastAsia="pt-BR"/>
        </w:rPr>
        <w:t>Base Conceitual</w:t>
      </w:r>
    </w:p>
    <w:p w:rsidR="004E1EB0" w:rsidRPr="00D85ACF" w:rsidRDefault="006C536C" w:rsidP="00AF63C8">
      <w:pPr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2º </w:t>
      </w:r>
      <w:r w:rsidR="005B515C" w:rsidRPr="00D85ACF">
        <w:rPr>
          <w:rFonts w:eastAsia="Times New Roman" w:cstheme="minorHAnsi"/>
          <w:noProof w:val="0"/>
          <w:color w:val="334152"/>
          <w:lang w:eastAsia="pt-BR"/>
        </w:rPr>
        <w:t>O orçamento anual é produto de um processo de planejamento que define as ações a serem desenvolvidas em determinado exercício. Entretanto, no decorrer do exercício financeiro, há necessidades de efetuar ajustes orçamentários quer seja pela inclusão de novas despesas</w:t>
      </w:r>
      <w:r w:rsidR="00AF63C8" w:rsidRPr="00D85ACF">
        <w:rPr>
          <w:rFonts w:eastAsia="Times New Roman" w:cstheme="minorHAnsi"/>
          <w:noProof w:val="0"/>
          <w:color w:val="334152"/>
          <w:lang w:eastAsia="pt-BR"/>
        </w:rPr>
        <w:t>,</w:t>
      </w:r>
      <w:r w:rsidR="005B515C" w:rsidRPr="00D85ACF">
        <w:rPr>
          <w:rFonts w:eastAsia="Times New Roman" w:cstheme="minorHAnsi"/>
          <w:noProof w:val="0"/>
          <w:color w:val="334152"/>
          <w:lang w:eastAsia="pt-BR"/>
        </w:rPr>
        <w:t xml:space="preserve"> quer seja para reforçar àquelas com saldos insuficientes</w:t>
      </w:r>
      <w:r w:rsidR="00070E49">
        <w:rPr>
          <w:rFonts w:eastAsia="Times New Roman" w:cstheme="minorHAnsi"/>
          <w:noProof w:val="0"/>
          <w:color w:val="334152"/>
          <w:lang w:eastAsia="pt-BR"/>
        </w:rPr>
        <w:t xml:space="preserve">, através de créditos adicionais </w:t>
      </w:r>
      <w:r w:rsidR="00AF63C8" w:rsidRPr="00D85ACF">
        <w:rPr>
          <w:rFonts w:eastAsia="Times New Roman" w:cstheme="minorHAnsi"/>
          <w:noProof w:val="0"/>
          <w:color w:val="334152"/>
          <w:lang w:eastAsia="pt-BR"/>
        </w:rPr>
        <w:t xml:space="preserve">ou </w:t>
      </w:r>
      <w:r w:rsidR="00070E49">
        <w:rPr>
          <w:rFonts w:eastAsia="Times New Roman" w:cstheme="minorHAnsi"/>
          <w:noProof w:val="0"/>
          <w:color w:val="334152"/>
          <w:lang w:eastAsia="pt-BR"/>
        </w:rPr>
        <w:t xml:space="preserve">de </w:t>
      </w:r>
      <w:r w:rsidR="00AF63C8" w:rsidRPr="00D85ACF">
        <w:rPr>
          <w:rFonts w:eastAsia="Times New Roman" w:cstheme="minorHAnsi"/>
          <w:noProof w:val="0"/>
          <w:color w:val="334152"/>
          <w:lang w:eastAsia="pt-BR"/>
        </w:rPr>
        <w:t xml:space="preserve">transferências, </w:t>
      </w:r>
      <w:r w:rsidR="0038425F" w:rsidRPr="00D85ACF">
        <w:rPr>
          <w:rFonts w:eastAsia="Times New Roman" w:cstheme="minorHAnsi"/>
          <w:noProof w:val="0"/>
          <w:color w:val="334152"/>
          <w:lang w:eastAsia="pt-BR"/>
        </w:rPr>
        <w:t>transposições</w:t>
      </w:r>
      <w:r w:rsidR="00AF63C8" w:rsidRPr="00D85ACF">
        <w:rPr>
          <w:rFonts w:eastAsia="Times New Roman" w:cstheme="minorHAnsi"/>
          <w:noProof w:val="0"/>
          <w:color w:val="334152"/>
          <w:lang w:eastAsia="pt-BR"/>
        </w:rPr>
        <w:t xml:space="preserve"> e remanejamentos</w:t>
      </w:r>
      <w:r w:rsidR="004E1EB0" w:rsidRPr="00D85ACF">
        <w:rPr>
          <w:rFonts w:eastAsia="Times New Roman" w:cstheme="minorHAnsi"/>
          <w:noProof w:val="0"/>
          <w:color w:val="334152"/>
          <w:lang w:eastAsia="pt-BR"/>
        </w:rPr>
        <w:t>.</w:t>
      </w:r>
    </w:p>
    <w:p w:rsidR="00587A2F" w:rsidRPr="00D85ACF" w:rsidRDefault="00587A2F" w:rsidP="00587A2F">
      <w:pPr>
        <w:shd w:val="clear" w:color="auto" w:fill="FFFFFF"/>
        <w:spacing w:after="225" w:line="240" w:lineRule="auto"/>
        <w:jc w:val="center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>II</w:t>
      </w:r>
      <w:r w:rsidR="00551164">
        <w:rPr>
          <w:rFonts w:eastAsia="Times New Roman" w:cstheme="minorHAnsi"/>
          <w:noProof w:val="0"/>
          <w:color w:val="334152"/>
          <w:lang w:eastAsia="pt-BR"/>
        </w:rPr>
        <w:t>I</w:t>
      </w: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 – Base Legal</w:t>
      </w:r>
    </w:p>
    <w:p w:rsidR="004B2B4C" w:rsidRPr="00D85ACF" w:rsidRDefault="004B2B4C" w:rsidP="00BB51C8">
      <w:pPr>
        <w:shd w:val="clear" w:color="auto" w:fill="FFFFFF"/>
        <w:spacing w:after="225" w:line="240" w:lineRule="auto"/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>Art. 4º São abordados na Constituição Federal os créditos adicionais no Capítulo II “Das Finanças Públicas”, seção II “Dos Orçamentos”, arts. 165 e 167 e incisos. Além desses artigos, existem outras normas que tratam sobre o assunto</w:t>
      </w:r>
      <w:r w:rsidR="00F26B27" w:rsidRPr="00D85ACF">
        <w:rPr>
          <w:rFonts w:eastAsia="Times New Roman" w:cstheme="minorHAnsi"/>
          <w:noProof w:val="0"/>
          <w:color w:val="334152"/>
          <w:lang w:eastAsia="pt-BR"/>
        </w:rPr>
        <w:t xml:space="preserve">, cujo </w:t>
      </w:r>
      <w:r w:rsidR="00F26B27" w:rsidRPr="00181E3C">
        <w:rPr>
          <w:rFonts w:eastAsia="Times New Roman" w:cstheme="minorHAnsi"/>
          <w:b/>
          <w:bCs/>
          <w:noProof w:val="0"/>
          <w:color w:val="334152"/>
          <w:lang w:eastAsia="pt-BR"/>
        </w:rPr>
        <w:t>ANEXO I</w:t>
      </w:r>
      <w:r w:rsidR="00916049" w:rsidRPr="00D85ACF">
        <w:rPr>
          <w:rFonts w:eastAsia="Times New Roman" w:cstheme="minorHAnsi"/>
          <w:noProof w:val="0"/>
          <w:color w:val="334152"/>
          <w:lang w:eastAsia="pt-BR"/>
        </w:rPr>
        <w:t xml:space="preserve"> desta instrução normativa</w:t>
      </w:r>
      <w:r w:rsidR="00F26B27" w:rsidRPr="00D85ACF">
        <w:rPr>
          <w:rFonts w:eastAsia="Times New Roman" w:cstheme="minorHAnsi"/>
          <w:noProof w:val="0"/>
          <w:color w:val="334152"/>
          <w:lang w:eastAsia="pt-BR"/>
        </w:rPr>
        <w:t xml:space="preserve">, traz </w:t>
      </w:r>
      <w:r w:rsidR="00916049" w:rsidRPr="00D85ACF">
        <w:rPr>
          <w:rFonts w:eastAsia="Times New Roman" w:cstheme="minorHAnsi"/>
          <w:noProof w:val="0"/>
          <w:color w:val="334152"/>
          <w:lang w:eastAsia="pt-BR"/>
        </w:rPr>
        <w:t>os tipos de decretos resumidos.</w:t>
      </w:r>
    </w:p>
    <w:p w:rsidR="006C536C" w:rsidRPr="00D85ACF" w:rsidRDefault="00587A2F" w:rsidP="00BB51C8">
      <w:pPr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3º </w:t>
      </w:r>
      <w:r w:rsidR="00010088" w:rsidRPr="00D85ACF">
        <w:rPr>
          <w:rFonts w:eastAsia="Times New Roman" w:cstheme="minorHAnsi"/>
          <w:noProof w:val="0"/>
          <w:color w:val="334152"/>
          <w:lang w:eastAsia="pt-BR"/>
        </w:rPr>
        <w:t xml:space="preserve">Os </w:t>
      </w:r>
      <w:r w:rsidR="00CC75AC" w:rsidRPr="00D85ACF">
        <w:rPr>
          <w:rFonts w:eastAsia="Times New Roman" w:cstheme="minorHAnsi"/>
          <w:noProof w:val="0"/>
          <w:color w:val="334152"/>
          <w:lang w:eastAsia="pt-BR"/>
        </w:rPr>
        <w:t>Créditos Adicionais, previstos na Lei 4320/64, que em seu artigo 4</w:t>
      </w:r>
      <w:r w:rsidR="00FC5165" w:rsidRPr="00D85ACF">
        <w:rPr>
          <w:rFonts w:eastAsia="Times New Roman" w:cstheme="minorHAnsi"/>
          <w:noProof w:val="0"/>
          <w:color w:val="334152"/>
          <w:lang w:eastAsia="pt-BR"/>
        </w:rPr>
        <w:t>1</w:t>
      </w:r>
      <w:r w:rsidR="00CC75AC" w:rsidRPr="00D85ACF">
        <w:rPr>
          <w:rFonts w:eastAsia="Times New Roman" w:cstheme="minorHAnsi"/>
          <w:noProof w:val="0"/>
          <w:color w:val="334152"/>
          <w:lang w:eastAsia="pt-BR"/>
        </w:rPr>
        <w:t xml:space="preserve">, </w:t>
      </w:r>
      <w:r w:rsidR="00BB51C8" w:rsidRPr="00D85ACF">
        <w:rPr>
          <w:rFonts w:eastAsia="Times New Roman" w:cstheme="minorHAnsi"/>
          <w:noProof w:val="0"/>
          <w:color w:val="334152"/>
          <w:lang w:eastAsia="pt-BR"/>
        </w:rPr>
        <w:t>divide</w:t>
      </w:r>
      <w:r w:rsidR="00775EC4" w:rsidRPr="00D85ACF">
        <w:rPr>
          <w:rFonts w:eastAsia="Times New Roman" w:cstheme="minorHAnsi"/>
          <w:noProof w:val="0"/>
          <w:color w:val="334152"/>
          <w:lang w:eastAsia="pt-BR"/>
        </w:rPr>
        <w:t>m-se</w:t>
      </w:r>
      <w:r w:rsidR="00BB51C8" w:rsidRPr="00D85ACF">
        <w:rPr>
          <w:rFonts w:eastAsia="Times New Roman" w:cstheme="minorHAnsi"/>
          <w:noProof w:val="0"/>
          <w:color w:val="334152"/>
          <w:lang w:eastAsia="pt-BR"/>
        </w:rPr>
        <w:t xml:space="preserve"> n</w:t>
      </w:r>
      <w:r w:rsidR="00FC5165" w:rsidRPr="00D85ACF">
        <w:rPr>
          <w:rFonts w:eastAsia="Times New Roman" w:cstheme="minorHAnsi"/>
          <w:noProof w:val="0"/>
          <w:color w:val="334152"/>
          <w:lang w:eastAsia="pt-BR"/>
        </w:rPr>
        <w:t>o</w:t>
      </w:r>
      <w:r w:rsidR="00BB51C8" w:rsidRPr="00D85ACF">
        <w:rPr>
          <w:rFonts w:eastAsia="Times New Roman" w:cstheme="minorHAnsi"/>
          <w:noProof w:val="0"/>
          <w:color w:val="334152"/>
          <w:lang w:eastAsia="pt-BR"/>
        </w:rPr>
        <w:t xml:space="preserve">s seguintes </w:t>
      </w:r>
      <w:r w:rsidR="00FC5165" w:rsidRPr="00D85ACF">
        <w:rPr>
          <w:rFonts w:eastAsia="Times New Roman" w:cstheme="minorHAnsi"/>
          <w:noProof w:val="0"/>
          <w:color w:val="334152"/>
          <w:lang w:eastAsia="pt-BR"/>
        </w:rPr>
        <w:t>t</w:t>
      </w:r>
      <w:r w:rsidR="004F4AAF" w:rsidRPr="00D85ACF">
        <w:rPr>
          <w:rFonts w:eastAsia="Times New Roman" w:cstheme="minorHAnsi"/>
          <w:noProof w:val="0"/>
          <w:color w:val="334152"/>
          <w:lang w:eastAsia="pt-BR"/>
        </w:rPr>
        <w:t>ipos</w:t>
      </w:r>
      <w:r w:rsidR="00BB51C8" w:rsidRPr="00D85ACF">
        <w:rPr>
          <w:rFonts w:eastAsia="Times New Roman" w:cstheme="minorHAnsi"/>
          <w:noProof w:val="0"/>
          <w:color w:val="334152"/>
          <w:lang w:eastAsia="pt-BR"/>
        </w:rPr>
        <w:t>:</w:t>
      </w:r>
    </w:p>
    <w:p w:rsidR="00814F7D" w:rsidRDefault="004F4AAF" w:rsidP="00BD6A25">
      <w:pPr>
        <w:pStyle w:val="PargrafodaLista"/>
        <w:numPr>
          <w:ilvl w:val="0"/>
          <w:numId w:val="7"/>
        </w:numPr>
        <w:ind w:left="709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A124D">
        <w:rPr>
          <w:rFonts w:eastAsia="Times New Roman" w:cstheme="minorHAnsi"/>
          <w:noProof w:val="0"/>
          <w:color w:val="334152"/>
          <w:lang w:eastAsia="pt-BR"/>
        </w:rPr>
        <w:t>Suplementares – Os destinados para reforço de dotação orçamentária, ou seja</w:t>
      </w:r>
      <w:r w:rsidR="00D57204" w:rsidRPr="00BA124D">
        <w:rPr>
          <w:rFonts w:eastAsia="Times New Roman" w:cstheme="minorHAnsi"/>
          <w:noProof w:val="0"/>
          <w:color w:val="334152"/>
          <w:lang w:eastAsia="pt-BR"/>
        </w:rPr>
        <w:t>,</w:t>
      </w:r>
      <w:r w:rsidRPr="00BA124D">
        <w:rPr>
          <w:rFonts w:eastAsia="Times New Roman" w:cstheme="minorHAnsi"/>
          <w:noProof w:val="0"/>
          <w:color w:val="334152"/>
          <w:lang w:eastAsia="pt-BR"/>
        </w:rPr>
        <w:t xml:space="preserve"> aqueles que reforçam atividades já </w:t>
      </w:r>
      <w:r w:rsidR="00814F7D" w:rsidRPr="00BA124D">
        <w:rPr>
          <w:rFonts w:eastAsia="Times New Roman" w:cstheme="minorHAnsi"/>
          <w:noProof w:val="0"/>
          <w:color w:val="334152"/>
          <w:lang w:eastAsia="pt-BR"/>
        </w:rPr>
        <w:t>previstas na Lei Orçamentária</w:t>
      </w:r>
      <w:r w:rsidR="004F4CD5" w:rsidRPr="00BA124D">
        <w:rPr>
          <w:rFonts w:eastAsia="Times New Roman" w:cstheme="minorHAnsi"/>
          <w:noProof w:val="0"/>
          <w:color w:val="334152"/>
          <w:lang w:eastAsia="pt-BR"/>
        </w:rPr>
        <w:t xml:space="preserve"> Anual - LOA</w:t>
      </w:r>
      <w:r w:rsidR="00814F7D" w:rsidRPr="00BA124D">
        <w:rPr>
          <w:rFonts w:eastAsia="Times New Roman" w:cstheme="minorHAnsi"/>
          <w:noProof w:val="0"/>
          <w:color w:val="334152"/>
          <w:lang w:eastAsia="pt-BR"/>
        </w:rPr>
        <w:t>, desde que não altere a categoria econômica da despesa.</w:t>
      </w:r>
    </w:p>
    <w:p w:rsidR="00BB51C8" w:rsidRPr="00BD6A25" w:rsidRDefault="00814F7D" w:rsidP="00BD6A25">
      <w:pPr>
        <w:pStyle w:val="PargrafodaLista"/>
        <w:numPr>
          <w:ilvl w:val="0"/>
          <w:numId w:val="7"/>
        </w:numPr>
        <w:ind w:left="709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D6A25">
        <w:rPr>
          <w:rFonts w:eastAsia="Times New Roman" w:cstheme="minorHAnsi"/>
          <w:noProof w:val="0"/>
          <w:color w:val="334152"/>
          <w:lang w:eastAsia="pt-BR"/>
        </w:rPr>
        <w:t xml:space="preserve">Especiais </w:t>
      </w:r>
      <w:r w:rsidR="00D57204" w:rsidRPr="00BD6A25">
        <w:rPr>
          <w:rFonts w:eastAsia="Times New Roman" w:cstheme="minorHAnsi"/>
          <w:noProof w:val="0"/>
          <w:color w:val="334152"/>
          <w:lang w:eastAsia="pt-BR"/>
        </w:rPr>
        <w:t>–</w:t>
      </w:r>
      <w:r w:rsidRPr="00BD6A25"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D57204" w:rsidRPr="00BD6A25">
        <w:rPr>
          <w:rFonts w:eastAsia="Times New Roman" w:cstheme="minorHAnsi"/>
          <w:noProof w:val="0"/>
          <w:color w:val="334152"/>
          <w:lang w:eastAsia="pt-BR"/>
        </w:rPr>
        <w:t xml:space="preserve">Os destinados a despesas para as quais não haja dotação orçamentária específica, ou </w:t>
      </w:r>
      <w:r w:rsidR="004F4CD5" w:rsidRPr="00BD6A25">
        <w:rPr>
          <w:rFonts w:eastAsia="Times New Roman" w:cstheme="minorHAnsi"/>
          <w:noProof w:val="0"/>
          <w:color w:val="334152"/>
          <w:lang w:eastAsia="pt-BR"/>
        </w:rPr>
        <w:t>seja, aqueles</w:t>
      </w:r>
      <w:r w:rsidR="00D57204" w:rsidRPr="00BD6A25">
        <w:rPr>
          <w:rFonts w:eastAsia="Times New Roman" w:cstheme="minorHAnsi"/>
          <w:noProof w:val="0"/>
          <w:color w:val="334152"/>
          <w:lang w:eastAsia="pt-BR"/>
        </w:rPr>
        <w:t xml:space="preserve"> que </w:t>
      </w:r>
      <w:r w:rsidR="004F4CD5" w:rsidRPr="00BD6A25">
        <w:rPr>
          <w:rFonts w:eastAsia="Times New Roman" w:cstheme="minorHAnsi"/>
          <w:noProof w:val="0"/>
          <w:color w:val="334152"/>
          <w:lang w:eastAsia="pt-BR"/>
        </w:rPr>
        <w:t>necessitem da criação de uma nova atividade, não prevista na Lei Orçamentária Anual – LOA.</w:t>
      </w:r>
    </w:p>
    <w:p w:rsidR="00FC5165" w:rsidRPr="00D85ACF" w:rsidRDefault="00FC5165" w:rsidP="00BD6A25">
      <w:pPr>
        <w:pStyle w:val="PargrafodaLista"/>
        <w:numPr>
          <w:ilvl w:val="0"/>
          <w:numId w:val="7"/>
        </w:numPr>
        <w:ind w:left="709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lastRenderedPageBreak/>
        <w:t xml:space="preserve">Extraordinários - </w:t>
      </w:r>
      <w:r w:rsidRPr="00D85ACF">
        <w:rPr>
          <w:rFonts w:cstheme="minorHAnsi"/>
          <w:color w:val="000000"/>
          <w:shd w:val="clear" w:color="auto" w:fill="FFFFFF"/>
        </w:rPr>
        <w:t>Os destinados a despesas urgentes e imprevistas, em caso de guerra, comoção intestina ou calamidade pública.</w:t>
      </w:r>
      <w:r w:rsidR="003805FD" w:rsidRPr="00D85ACF">
        <w:rPr>
          <w:rFonts w:cstheme="minorHAnsi"/>
          <w:color w:val="000000"/>
          <w:shd w:val="clear" w:color="auto" w:fill="FFFFFF"/>
        </w:rPr>
        <w:t xml:space="preserve"> Para possibilidade de aberturas de créditos deste tipo, será necessário que o chefe do executivo decrete a situação prevista.</w:t>
      </w:r>
    </w:p>
    <w:p w:rsidR="00775EC4" w:rsidRPr="00D85ACF" w:rsidRDefault="00775EC4" w:rsidP="00010088">
      <w:pPr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4º </w:t>
      </w:r>
      <w:r w:rsidR="00010088" w:rsidRPr="00D85ACF">
        <w:rPr>
          <w:rFonts w:eastAsia="Times New Roman" w:cstheme="minorHAnsi"/>
          <w:noProof w:val="0"/>
          <w:color w:val="334152"/>
          <w:lang w:eastAsia="pt-BR"/>
        </w:rPr>
        <w:t xml:space="preserve">Para abertura dos créditos adicionais </w:t>
      </w:r>
      <w:r w:rsidR="00134B8B" w:rsidRPr="00D85ACF">
        <w:rPr>
          <w:rFonts w:eastAsia="Times New Roman" w:cstheme="minorHAnsi"/>
          <w:noProof w:val="0"/>
          <w:color w:val="334152"/>
          <w:lang w:eastAsia="pt-BR"/>
        </w:rPr>
        <w:t xml:space="preserve">suplementares e especiais </w:t>
      </w:r>
      <w:r w:rsidR="00010088" w:rsidRPr="00D85ACF">
        <w:rPr>
          <w:rFonts w:eastAsia="Times New Roman" w:cstheme="minorHAnsi"/>
          <w:noProof w:val="0"/>
          <w:color w:val="334152"/>
          <w:lang w:eastAsia="pt-BR"/>
        </w:rPr>
        <w:t xml:space="preserve">previstos nos tipos do artigo anterior, deverá existir </w:t>
      </w:r>
      <w:r w:rsidR="00CF3B03" w:rsidRPr="00D85ACF">
        <w:rPr>
          <w:rFonts w:eastAsia="Times New Roman" w:cstheme="minorHAnsi"/>
          <w:noProof w:val="0"/>
          <w:color w:val="334152"/>
          <w:lang w:eastAsia="pt-BR"/>
        </w:rPr>
        <w:t>disponibilidade d</w:t>
      </w:r>
      <w:r w:rsidR="00134B8B" w:rsidRPr="00D85ACF">
        <w:rPr>
          <w:rFonts w:eastAsia="Times New Roman" w:cstheme="minorHAnsi"/>
          <w:noProof w:val="0"/>
          <w:color w:val="334152"/>
          <w:lang w:eastAsia="pt-BR"/>
        </w:rPr>
        <w:t>os</w:t>
      </w:r>
      <w:r w:rsidR="00CF3B03" w:rsidRPr="00D85ACF">
        <w:rPr>
          <w:rFonts w:eastAsia="Times New Roman" w:cstheme="minorHAnsi"/>
          <w:noProof w:val="0"/>
          <w:color w:val="334152"/>
          <w:lang w:eastAsia="pt-BR"/>
        </w:rPr>
        <w:t xml:space="preserve"> recursos</w:t>
      </w:r>
      <w:r w:rsidR="00134B8B" w:rsidRPr="00D85ACF">
        <w:rPr>
          <w:rFonts w:eastAsia="Times New Roman" w:cstheme="minorHAnsi"/>
          <w:noProof w:val="0"/>
          <w:color w:val="334152"/>
          <w:lang w:eastAsia="pt-BR"/>
        </w:rPr>
        <w:t>,</w:t>
      </w:r>
      <w:r w:rsidR="00CF3B03" w:rsidRPr="00D85ACF">
        <w:rPr>
          <w:rFonts w:eastAsia="Times New Roman" w:cstheme="minorHAnsi"/>
          <w:noProof w:val="0"/>
          <w:color w:val="334152"/>
          <w:lang w:eastAsia="pt-BR"/>
        </w:rPr>
        <w:t xml:space="preserve"> previstas no artigo 43</w:t>
      </w:r>
      <w:r w:rsidR="006156AF" w:rsidRPr="00D85ACF">
        <w:rPr>
          <w:rFonts w:eastAsia="Times New Roman" w:cstheme="minorHAnsi"/>
          <w:noProof w:val="0"/>
          <w:color w:val="334152"/>
          <w:lang w:eastAsia="pt-BR"/>
        </w:rPr>
        <w:t xml:space="preserve"> da Lei 4320/64:</w:t>
      </w:r>
    </w:p>
    <w:p w:rsidR="006156AF" w:rsidRPr="00BA124D" w:rsidRDefault="006156AF" w:rsidP="00BA124D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A124D">
        <w:rPr>
          <w:rFonts w:eastAsia="Times New Roman" w:cstheme="minorHAnsi"/>
          <w:noProof w:val="0"/>
          <w:color w:val="334152"/>
          <w:lang w:eastAsia="pt-BR"/>
        </w:rPr>
        <w:t>Superávit Financeiro</w:t>
      </w:r>
      <w:r w:rsidR="00981D8E" w:rsidRPr="00BA124D">
        <w:rPr>
          <w:rFonts w:eastAsia="Times New Roman" w:cstheme="minorHAnsi"/>
          <w:noProof w:val="0"/>
          <w:color w:val="334152"/>
          <w:lang w:eastAsia="pt-BR"/>
        </w:rPr>
        <w:t>,</w:t>
      </w:r>
      <w:r w:rsidRPr="00BA124D">
        <w:rPr>
          <w:rFonts w:eastAsia="Times New Roman" w:cstheme="minorHAnsi"/>
          <w:noProof w:val="0"/>
          <w:color w:val="334152"/>
          <w:lang w:eastAsia="pt-BR"/>
        </w:rPr>
        <w:t xml:space="preserve"> apurado no balanço patrimonial do exercício anterior. </w:t>
      </w:r>
      <w:r w:rsidR="00981D8E" w:rsidRPr="00BA124D">
        <w:rPr>
          <w:rFonts w:eastAsia="Times New Roman" w:cstheme="minorHAnsi"/>
          <w:noProof w:val="0"/>
          <w:color w:val="334152"/>
          <w:lang w:eastAsia="pt-BR"/>
        </w:rPr>
        <w:t xml:space="preserve">O levantamento do Superávit financeiro deverá ser efetuado </w:t>
      </w:r>
      <w:r w:rsidR="006D56D0" w:rsidRPr="00BA124D">
        <w:rPr>
          <w:rFonts w:eastAsia="Times New Roman" w:cstheme="minorHAnsi"/>
          <w:noProof w:val="0"/>
          <w:color w:val="334152"/>
          <w:lang w:eastAsia="pt-BR"/>
        </w:rPr>
        <w:t>do orçamento geral do município</w:t>
      </w:r>
      <w:r w:rsidR="00225B79" w:rsidRPr="00BA124D">
        <w:rPr>
          <w:rFonts w:eastAsia="Times New Roman" w:cstheme="minorHAnsi"/>
          <w:noProof w:val="0"/>
          <w:color w:val="334152"/>
          <w:lang w:eastAsia="pt-BR"/>
        </w:rPr>
        <w:t xml:space="preserve">. </w:t>
      </w:r>
      <w:r w:rsidR="00225511" w:rsidRPr="00BA124D">
        <w:rPr>
          <w:rFonts w:eastAsia="Times New Roman" w:cstheme="minorHAnsi"/>
          <w:noProof w:val="0"/>
          <w:color w:val="334152"/>
          <w:lang w:eastAsia="pt-BR"/>
        </w:rPr>
        <w:t>A suplementação das despesas deverá</w:t>
      </w:r>
      <w:r w:rsidR="00981D8E" w:rsidRPr="00BA124D">
        <w:rPr>
          <w:rFonts w:eastAsia="Times New Roman" w:cstheme="minorHAnsi"/>
          <w:noProof w:val="0"/>
          <w:color w:val="334152"/>
          <w:lang w:eastAsia="pt-BR"/>
        </w:rPr>
        <w:t xml:space="preserve"> ser efetuada </w:t>
      </w:r>
      <w:r w:rsidR="00DF6D53" w:rsidRPr="00BA124D">
        <w:rPr>
          <w:rFonts w:eastAsia="Times New Roman" w:cstheme="minorHAnsi"/>
          <w:noProof w:val="0"/>
          <w:color w:val="334152"/>
          <w:lang w:eastAsia="pt-BR"/>
        </w:rPr>
        <w:t xml:space="preserve">nas fontes de recursos em que houve o superávit financeiro, sendo que, </w:t>
      </w:r>
      <w:r w:rsidR="006D56D0" w:rsidRPr="00BA124D">
        <w:rPr>
          <w:rFonts w:eastAsia="Times New Roman" w:cstheme="minorHAnsi"/>
          <w:noProof w:val="0"/>
          <w:color w:val="334152"/>
          <w:lang w:eastAsia="pt-BR"/>
        </w:rPr>
        <w:t xml:space="preserve">no </w:t>
      </w:r>
      <w:r w:rsidR="00DF6D53" w:rsidRPr="00BA124D">
        <w:rPr>
          <w:rFonts w:eastAsia="Times New Roman" w:cstheme="minorHAnsi"/>
          <w:noProof w:val="0"/>
          <w:color w:val="334152"/>
          <w:lang w:eastAsia="pt-BR"/>
        </w:rPr>
        <w:t xml:space="preserve">caso </w:t>
      </w:r>
      <w:r w:rsidR="00225B79" w:rsidRPr="00BA124D">
        <w:rPr>
          <w:rFonts w:eastAsia="Times New Roman" w:cstheme="minorHAnsi"/>
          <w:noProof w:val="0"/>
          <w:color w:val="334152"/>
          <w:lang w:eastAsia="pt-BR"/>
        </w:rPr>
        <w:t xml:space="preserve">de </w:t>
      </w:r>
      <w:r w:rsidR="00DF6D53" w:rsidRPr="00BA124D">
        <w:rPr>
          <w:rFonts w:eastAsia="Times New Roman" w:cstheme="minorHAnsi"/>
          <w:noProof w:val="0"/>
          <w:color w:val="334152"/>
          <w:lang w:eastAsia="pt-BR"/>
        </w:rPr>
        <w:t xml:space="preserve">déficit </w:t>
      </w:r>
      <w:r w:rsidR="00F22231" w:rsidRPr="00BA124D">
        <w:rPr>
          <w:rFonts w:eastAsia="Times New Roman" w:cstheme="minorHAnsi"/>
          <w:noProof w:val="0"/>
          <w:color w:val="334152"/>
          <w:lang w:eastAsia="pt-BR"/>
        </w:rPr>
        <w:t xml:space="preserve">em alguma </w:t>
      </w:r>
      <w:r w:rsidR="00225511" w:rsidRPr="00BA124D">
        <w:rPr>
          <w:rFonts w:eastAsia="Times New Roman" w:cstheme="minorHAnsi"/>
          <w:noProof w:val="0"/>
          <w:color w:val="334152"/>
          <w:lang w:eastAsia="pt-BR"/>
        </w:rPr>
        <w:t>fonte, o</w:t>
      </w:r>
      <w:r w:rsidR="00F22231" w:rsidRPr="00BA124D">
        <w:rPr>
          <w:rFonts w:eastAsia="Times New Roman" w:cstheme="minorHAnsi"/>
          <w:noProof w:val="0"/>
          <w:color w:val="334152"/>
          <w:lang w:eastAsia="pt-BR"/>
        </w:rPr>
        <w:t xml:space="preserve"> credito adicional será </w:t>
      </w:r>
      <w:r w:rsidR="0054605B" w:rsidRPr="00BA124D">
        <w:rPr>
          <w:rFonts w:eastAsia="Times New Roman" w:cstheme="minorHAnsi"/>
          <w:noProof w:val="0"/>
          <w:color w:val="334152"/>
          <w:lang w:eastAsia="pt-BR"/>
        </w:rPr>
        <w:t>efetuado, reduzindo de despesas que tiveram déficit financeiro</w:t>
      </w:r>
      <w:r w:rsidR="00C10047" w:rsidRPr="00BA124D">
        <w:rPr>
          <w:rFonts w:eastAsia="Times New Roman" w:cstheme="minorHAnsi"/>
          <w:noProof w:val="0"/>
          <w:color w:val="334152"/>
          <w:lang w:eastAsia="pt-BR"/>
        </w:rPr>
        <w:t>, no exercício anterior</w:t>
      </w:r>
      <w:r w:rsidR="0054605B" w:rsidRPr="00BA124D">
        <w:rPr>
          <w:rFonts w:eastAsia="Times New Roman" w:cstheme="minorHAnsi"/>
          <w:noProof w:val="0"/>
          <w:color w:val="334152"/>
          <w:lang w:eastAsia="pt-BR"/>
        </w:rPr>
        <w:t>.</w:t>
      </w:r>
      <w:r w:rsidR="00C10047" w:rsidRPr="00BA124D"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225511" w:rsidRPr="00BA124D">
        <w:rPr>
          <w:rFonts w:eastAsia="Times New Roman" w:cstheme="minorHAnsi"/>
          <w:noProof w:val="0"/>
          <w:color w:val="334152"/>
          <w:lang w:eastAsia="pt-BR"/>
        </w:rPr>
        <w:t>A abertura de créditos adicionais</w:t>
      </w:r>
      <w:r w:rsidR="00725753" w:rsidRPr="00BA124D">
        <w:rPr>
          <w:rFonts w:eastAsia="Times New Roman" w:cstheme="minorHAnsi"/>
          <w:noProof w:val="0"/>
          <w:color w:val="334152"/>
          <w:lang w:eastAsia="pt-BR"/>
        </w:rPr>
        <w:t>,</w:t>
      </w:r>
      <w:r w:rsidR="00225511" w:rsidRPr="00BA124D">
        <w:rPr>
          <w:rFonts w:eastAsia="Times New Roman" w:cstheme="minorHAnsi"/>
          <w:noProof w:val="0"/>
          <w:color w:val="334152"/>
          <w:lang w:eastAsia="pt-BR"/>
        </w:rPr>
        <w:t xml:space="preserve"> por superávit financeiro</w:t>
      </w:r>
      <w:r w:rsidR="00725753" w:rsidRPr="00BA124D">
        <w:rPr>
          <w:rFonts w:eastAsia="Times New Roman" w:cstheme="minorHAnsi"/>
          <w:noProof w:val="0"/>
          <w:color w:val="334152"/>
          <w:lang w:eastAsia="pt-BR"/>
        </w:rPr>
        <w:t>,</w:t>
      </w:r>
      <w:r w:rsidR="00225511" w:rsidRPr="00BA124D">
        <w:rPr>
          <w:rFonts w:eastAsia="Times New Roman" w:cstheme="minorHAnsi"/>
          <w:noProof w:val="0"/>
          <w:color w:val="334152"/>
          <w:lang w:eastAsia="pt-BR"/>
        </w:rPr>
        <w:t xml:space="preserve"> ser</w:t>
      </w:r>
      <w:r w:rsidR="00725753" w:rsidRPr="00BA124D">
        <w:rPr>
          <w:rFonts w:eastAsia="Times New Roman" w:cstheme="minorHAnsi"/>
          <w:noProof w:val="0"/>
          <w:color w:val="334152"/>
          <w:lang w:eastAsia="pt-BR"/>
        </w:rPr>
        <w:t>á</w:t>
      </w:r>
      <w:r w:rsidR="00225511" w:rsidRPr="00BA124D">
        <w:rPr>
          <w:rFonts w:eastAsia="Times New Roman" w:cstheme="minorHAnsi"/>
          <w:noProof w:val="0"/>
          <w:color w:val="334152"/>
          <w:lang w:eastAsia="pt-BR"/>
        </w:rPr>
        <w:t xml:space="preserve"> limitada </w:t>
      </w:r>
      <w:r w:rsidR="00237DF3" w:rsidRPr="00BA124D">
        <w:rPr>
          <w:rFonts w:eastAsia="Times New Roman" w:cstheme="minorHAnsi"/>
          <w:noProof w:val="0"/>
          <w:color w:val="334152"/>
          <w:lang w:eastAsia="pt-BR"/>
        </w:rPr>
        <w:t>ao total do superávit financeiro apresentado no Balanço Patrimonial Consolidado, do exercício anterior</w:t>
      </w:r>
      <w:r w:rsidR="00725753" w:rsidRPr="00BA124D">
        <w:rPr>
          <w:rFonts w:eastAsia="Times New Roman" w:cstheme="minorHAnsi"/>
          <w:noProof w:val="0"/>
          <w:color w:val="334152"/>
          <w:lang w:eastAsia="pt-BR"/>
        </w:rPr>
        <w:t>.</w:t>
      </w:r>
    </w:p>
    <w:p w:rsidR="00237DF3" w:rsidRPr="00BA124D" w:rsidRDefault="009163FF" w:rsidP="00BA124D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A124D">
        <w:rPr>
          <w:rFonts w:eastAsia="Times New Roman" w:cstheme="minorHAnsi"/>
          <w:noProof w:val="0"/>
          <w:color w:val="334152"/>
          <w:lang w:eastAsia="pt-BR"/>
        </w:rPr>
        <w:t xml:space="preserve">Excesso de Arrecadação, que será efetuado mediante cálculo </w:t>
      </w:r>
      <w:r w:rsidR="00C73386" w:rsidRPr="00BA124D">
        <w:rPr>
          <w:rFonts w:eastAsia="Times New Roman" w:cstheme="minorHAnsi"/>
          <w:noProof w:val="0"/>
          <w:color w:val="334152"/>
          <w:lang w:eastAsia="pt-BR"/>
        </w:rPr>
        <w:t xml:space="preserve">previsto </w:t>
      </w:r>
      <w:r w:rsidR="003C26DE" w:rsidRPr="00BA124D">
        <w:rPr>
          <w:rFonts w:eastAsia="Times New Roman" w:cstheme="minorHAnsi"/>
          <w:noProof w:val="0"/>
          <w:color w:val="334152"/>
          <w:lang w:eastAsia="pt-BR"/>
        </w:rPr>
        <w:t xml:space="preserve">no </w:t>
      </w:r>
      <w:r w:rsidR="003C26DE" w:rsidRPr="00181E3C">
        <w:rPr>
          <w:rFonts w:eastAsia="Times New Roman" w:cstheme="minorHAnsi"/>
          <w:b/>
          <w:bCs/>
          <w:noProof w:val="0"/>
          <w:color w:val="334152"/>
          <w:lang w:eastAsia="pt-BR"/>
        </w:rPr>
        <w:t>ANEXO II</w:t>
      </w:r>
      <w:r w:rsidR="003C26DE" w:rsidRPr="00BA124D">
        <w:rPr>
          <w:rFonts w:eastAsia="Times New Roman" w:cstheme="minorHAnsi"/>
          <w:noProof w:val="0"/>
          <w:color w:val="334152"/>
          <w:lang w:eastAsia="pt-BR"/>
        </w:rPr>
        <w:t xml:space="preserve">, desta instrução normativa, </w:t>
      </w:r>
      <w:r w:rsidR="00504A8D" w:rsidRPr="00BA124D">
        <w:rPr>
          <w:rFonts w:eastAsia="Times New Roman" w:cstheme="minorHAnsi"/>
          <w:noProof w:val="0"/>
          <w:color w:val="334152"/>
          <w:lang w:eastAsia="pt-BR"/>
        </w:rPr>
        <w:t>cujo modelo deverá ser elaborado pela Secretaria de Planejamento</w:t>
      </w:r>
      <w:r w:rsidR="00600B00" w:rsidRPr="00BA124D">
        <w:rPr>
          <w:rFonts w:eastAsia="Times New Roman" w:cstheme="minorHAnsi"/>
          <w:noProof w:val="0"/>
          <w:color w:val="334152"/>
          <w:lang w:eastAsia="pt-BR"/>
        </w:rPr>
        <w:t>,</w:t>
      </w:r>
      <w:r w:rsidR="00504A8D" w:rsidRPr="00BA124D">
        <w:rPr>
          <w:rFonts w:eastAsia="Times New Roman" w:cstheme="minorHAnsi"/>
          <w:noProof w:val="0"/>
          <w:color w:val="334152"/>
          <w:lang w:eastAsia="pt-BR"/>
        </w:rPr>
        <w:t xml:space="preserve"> em planilha eletrônica, com cálculos automáticos, após informado os valores arrecadados </w:t>
      </w:r>
      <w:r w:rsidR="00694D8B" w:rsidRPr="00BA124D">
        <w:rPr>
          <w:rFonts w:eastAsia="Times New Roman" w:cstheme="minorHAnsi"/>
          <w:noProof w:val="0"/>
          <w:color w:val="334152"/>
          <w:lang w:eastAsia="pt-BR"/>
        </w:rPr>
        <w:t>do exercício anterior e do exercício atual, até o mês em que for efetuado o cálculo.</w:t>
      </w:r>
      <w:r w:rsidR="00600B00" w:rsidRPr="00BA124D">
        <w:rPr>
          <w:rFonts w:eastAsia="Times New Roman" w:cstheme="minorHAnsi"/>
          <w:noProof w:val="0"/>
          <w:color w:val="334152"/>
          <w:lang w:eastAsia="pt-BR"/>
        </w:rPr>
        <w:t xml:space="preserve"> Calculado o limite de valor para abertura de créditos adicionais</w:t>
      </w:r>
      <w:r w:rsidR="00E5287D" w:rsidRPr="00BA124D">
        <w:rPr>
          <w:rFonts w:eastAsia="Times New Roman" w:cstheme="minorHAnsi"/>
          <w:noProof w:val="0"/>
          <w:color w:val="334152"/>
          <w:lang w:eastAsia="pt-BR"/>
        </w:rPr>
        <w:t xml:space="preserve">, caberá ao planejamento efetuar o levantamento das fontes de recursos que mereçam a suplementação. Caso haja fontes que a </w:t>
      </w:r>
      <w:r w:rsidR="003B6D82" w:rsidRPr="00BA124D">
        <w:rPr>
          <w:rFonts w:eastAsia="Times New Roman" w:cstheme="minorHAnsi"/>
          <w:noProof w:val="0"/>
          <w:color w:val="334152"/>
          <w:lang w:eastAsia="pt-BR"/>
        </w:rPr>
        <w:t>previsão</w:t>
      </w:r>
      <w:r w:rsidR="00E5287D" w:rsidRPr="00BA124D">
        <w:rPr>
          <w:rFonts w:eastAsia="Times New Roman" w:cstheme="minorHAnsi"/>
          <w:noProof w:val="0"/>
          <w:color w:val="334152"/>
          <w:lang w:eastAsia="pt-BR"/>
        </w:rPr>
        <w:t xml:space="preserve"> de arrecadação seja menor que a orçado, o credito adicional deverá ser </w:t>
      </w:r>
      <w:r w:rsidR="003B6D82" w:rsidRPr="00BA124D">
        <w:rPr>
          <w:rFonts w:eastAsia="Times New Roman" w:cstheme="minorHAnsi"/>
          <w:noProof w:val="0"/>
          <w:color w:val="334152"/>
          <w:lang w:eastAsia="pt-BR"/>
        </w:rPr>
        <w:t>efetuado por anulação das referidas fontes, para que haja a limitação de empenho automaticamente.</w:t>
      </w:r>
    </w:p>
    <w:p w:rsidR="00C10047" w:rsidRPr="00D85ACF" w:rsidRDefault="000370A7" w:rsidP="00BA124D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Anulação de Dotação, que será os créditos adicionais onde </w:t>
      </w:r>
      <w:r w:rsidR="004D327E" w:rsidRPr="00D85ACF">
        <w:rPr>
          <w:rFonts w:eastAsia="Times New Roman" w:cstheme="minorHAnsi"/>
          <w:noProof w:val="0"/>
          <w:color w:val="334152"/>
          <w:lang w:eastAsia="pt-BR"/>
        </w:rPr>
        <w:t>a suplementação da dotação será efetuada reduzindo outra dotação orçamentária.</w:t>
      </w:r>
    </w:p>
    <w:p w:rsidR="00B5191C" w:rsidRPr="00BA124D" w:rsidRDefault="00B5191C" w:rsidP="00BA124D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A124D">
        <w:rPr>
          <w:rFonts w:eastAsia="Times New Roman" w:cstheme="minorHAnsi"/>
          <w:noProof w:val="0"/>
          <w:color w:val="334152"/>
          <w:lang w:eastAsia="pt-BR"/>
        </w:rPr>
        <w:t xml:space="preserve">Operações de Crédito, que será efetuado, sempre mediante autorização por lei específica, </w:t>
      </w:r>
      <w:r w:rsidR="00E96FB9" w:rsidRPr="00BA124D">
        <w:rPr>
          <w:rFonts w:eastAsia="Times New Roman" w:cstheme="minorHAnsi"/>
          <w:noProof w:val="0"/>
          <w:color w:val="334152"/>
          <w:lang w:eastAsia="pt-BR"/>
        </w:rPr>
        <w:t>através de operações de crédito junto a instituições financeiras, que aumentem a realização da receita vinculada a uma fonte de recursos de aplicação.</w:t>
      </w:r>
    </w:p>
    <w:p w:rsidR="00BB51C8" w:rsidRPr="00D85ACF" w:rsidRDefault="001001BF" w:rsidP="00BB51C8">
      <w:pPr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5º As reformulações administrativas, previstas na </w:t>
      </w:r>
      <w:r w:rsidR="007A7CBB" w:rsidRPr="00D85ACF">
        <w:rPr>
          <w:rFonts w:eastAsia="Times New Roman" w:cstheme="minorHAnsi"/>
          <w:noProof w:val="0"/>
          <w:color w:val="334152"/>
          <w:lang w:eastAsia="pt-BR"/>
        </w:rPr>
        <w:t>C</w:t>
      </w: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onstituição </w:t>
      </w:r>
      <w:r w:rsidR="007A7CBB" w:rsidRPr="00D85ACF">
        <w:rPr>
          <w:rFonts w:eastAsia="Times New Roman" w:cstheme="minorHAnsi"/>
          <w:noProof w:val="0"/>
          <w:color w:val="334152"/>
          <w:lang w:eastAsia="pt-BR"/>
        </w:rPr>
        <w:t xml:space="preserve">Federal de 1988, em seu artigo 167, </w:t>
      </w:r>
      <w:r w:rsidR="00916049" w:rsidRPr="00D85ACF">
        <w:rPr>
          <w:rFonts w:eastAsia="Times New Roman" w:cstheme="minorHAnsi"/>
          <w:noProof w:val="0"/>
          <w:color w:val="334152"/>
          <w:lang w:eastAsia="pt-BR"/>
        </w:rPr>
        <w:t xml:space="preserve">que devem ser </w:t>
      </w:r>
      <w:r w:rsidR="007C2040" w:rsidRPr="00D85ACF">
        <w:rPr>
          <w:rFonts w:eastAsia="Times New Roman" w:cstheme="minorHAnsi"/>
          <w:noProof w:val="0"/>
          <w:color w:val="334152"/>
          <w:lang w:eastAsia="pt-BR"/>
        </w:rPr>
        <w:t xml:space="preserve">autorizadas por </w:t>
      </w:r>
      <w:r w:rsidR="007C2040" w:rsidRPr="00557C2E">
        <w:rPr>
          <w:rFonts w:eastAsia="Times New Roman" w:cstheme="minorHAnsi"/>
          <w:b/>
          <w:bCs/>
          <w:noProof w:val="0"/>
          <w:color w:val="334152"/>
          <w:lang w:eastAsia="pt-BR"/>
        </w:rPr>
        <w:t>lei específica</w:t>
      </w:r>
      <w:r w:rsidR="007C2040" w:rsidRPr="00D85ACF">
        <w:rPr>
          <w:rFonts w:eastAsia="Times New Roman" w:cstheme="minorHAnsi"/>
          <w:noProof w:val="0"/>
          <w:color w:val="334152"/>
          <w:lang w:eastAsia="pt-BR"/>
        </w:rPr>
        <w:t xml:space="preserve">, por permitirem ao gestor efetuar alterações </w:t>
      </w:r>
      <w:r w:rsidR="007C2040" w:rsidRPr="00D85ACF">
        <w:rPr>
          <w:rFonts w:eastAsia="Times New Roman" w:cstheme="minorHAnsi"/>
          <w:b/>
          <w:bCs/>
          <w:noProof w:val="0"/>
          <w:color w:val="334152"/>
          <w:lang w:eastAsia="pt-BR"/>
        </w:rPr>
        <w:t xml:space="preserve">qualitativas </w:t>
      </w:r>
      <w:r w:rsidR="007C2040" w:rsidRPr="00D85ACF">
        <w:rPr>
          <w:rFonts w:eastAsia="Times New Roman" w:cstheme="minorHAnsi"/>
          <w:noProof w:val="0"/>
          <w:color w:val="334152"/>
          <w:lang w:eastAsia="pt-BR"/>
        </w:rPr>
        <w:t xml:space="preserve">do orçamento, </w:t>
      </w:r>
      <w:r w:rsidR="007A7CBB" w:rsidRPr="00D85ACF">
        <w:rPr>
          <w:rFonts w:eastAsia="Times New Roman" w:cstheme="minorHAnsi"/>
          <w:noProof w:val="0"/>
          <w:color w:val="334152"/>
          <w:lang w:eastAsia="pt-BR"/>
        </w:rPr>
        <w:t>dividem-se nos seguintes tipos:</w:t>
      </w:r>
    </w:p>
    <w:p w:rsidR="007A7CBB" w:rsidRPr="00BA124D" w:rsidRDefault="00F26B27" w:rsidP="00BA124D">
      <w:pPr>
        <w:pStyle w:val="PargrafodaLista"/>
        <w:numPr>
          <w:ilvl w:val="0"/>
          <w:numId w:val="8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A124D">
        <w:rPr>
          <w:rFonts w:eastAsia="Times New Roman" w:cstheme="minorHAnsi"/>
          <w:noProof w:val="0"/>
          <w:color w:val="334152"/>
          <w:lang w:eastAsia="pt-BR"/>
        </w:rPr>
        <w:t>Transferências, que trata d</w:t>
      </w:r>
      <w:r w:rsidR="002C2112" w:rsidRPr="00BA124D">
        <w:rPr>
          <w:rFonts w:eastAsia="Times New Roman" w:cstheme="minorHAnsi"/>
          <w:noProof w:val="0"/>
          <w:color w:val="334152"/>
          <w:lang w:eastAsia="pt-BR"/>
        </w:rPr>
        <w:t>as</w:t>
      </w:r>
      <w:r w:rsidRPr="00BA124D">
        <w:rPr>
          <w:rFonts w:eastAsia="Times New Roman" w:cstheme="minorHAnsi"/>
          <w:noProof w:val="0"/>
          <w:color w:val="334152"/>
          <w:lang w:eastAsia="pt-BR"/>
        </w:rPr>
        <w:t xml:space="preserve"> alterações or</w:t>
      </w:r>
      <w:r w:rsidR="00C84147" w:rsidRPr="00BA124D">
        <w:rPr>
          <w:rFonts w:eastAsia="Times New Roman" w:cstheme="minorHAnsi"/>
          <w:noProof w:val="0"/>
          <w:color w:val="334152"/>
          <w:lang w:eastAsia="pt-BR"/>
        </w:rPr>
        <w:t>çamentárias, quando supl</w:t>
      </w:r>
      <w:r w:rsidR="007C0032" w:rsidRPr="00BA124D">
        <w:rPr>
          <w:rFonts w:eastAsia="Times New Roman" w:cstheme="minorHAnsi"/>
          <w:noProof w:val="0"/>
          <w:color w:val="334152"/>
          <w:lang w:eastAsia="pt-BR"/>
        </w:rPr>
        <w:t>ementada</w:t>
      </w:r>
      <w:r w:rsidR="00C84147" w:rsidRPr="00BA124D">
        <w:rPr>
          <w:rFonts w:eastAsia="Times New Roman" w:cstheme="minorHAnsi"/>
          <w:noProof w:val="0"/>
          <w:color w:val="334152"/>
          <w:lang w:eastAsia="pt-BR"/>
        </w:rPr>
        <w:t xml:space="preserve"> uma dotação orçamentária e reduzida de outra</w:t>
      </w:r>
      <w:r w:rsidR="002C2112" w:rsidRPr="00BA124D">
        <w:rPr>
          <w:rFonts w:eastAsia="Times New Roman" w:cstheme="minorHAnsi"/>
          <w:noProof w:val="0"/>
          <w:color w:val="334152"/>
          <w:lang w:eastAsia="pt-BR"/>
        </w:rPr>
        <w:t>, de mesma</w:t>
      </w:r>
      <w:r w:rsidR="009F56E4" w:rsidRPr="00BA124D">
        <w:rPr>
          <w:rFonts w:eastAsia="Times New Roman" w:cstheme="minorHAnsi"/>
          <w:noProof w:val="0"/>
          <w:color w:val="334152"/>
          <w:lang w:eastAsia="pt-BR"/>
        </w:rPr>
        <w:t>s</w:t>
      </w:r>
      <w:r w:rsidR="002C2112" w:rsidRPr="00BA124D">
        <w:rPr>
          <w:rFonts w:eastAsia="Times New Roman" w:cstheme="minorHAnsi"/>
          <w:noProof w:val="0"/>
          <w:color w:val="334152"/>
          <w:lang w:eastAsia="pt-BR"/>
        </w:rPr>
        <w:t xml:space="preserve"> atividade</w:t>
      </w:r>
      <w:r w:rsidR="009F56E4" w:rsidRPr="00BA124D">
        <w:rPr>
          <w:rFonts w:eastAsia="Times New Roman" w:cstheme="minorHAnsi"/>
          <w:noProof w:val="0"/>
          <w:color w:val="334152"/>
          <w:lang w:eastAsia="pt-BR"/>
        </w:rPr>
        <w:t>s</w:t>
      </w:r>
      <w:r w:rsidR="002C2112" w:rsidRPr="00BA124D">
        <w:rPr>
          <w:rFonts w:eastAsia="Times New Roman" w:cstheme="minorHAnsi"/>
          <w:noProof w:val="0"/>
          <w:color w:val="334152"/>
          <w:lang w:eastAsia="pt-BR"/>
        </w:rPr>
        <w:t>, porém de categorias econômicas diferentes.</w:t>
      </w:r>
    </w:p>
    <w:p w:rsidR="00D85ACF" w:rsidRPr="00BA124D" w:rsidRDefault="00D85ACF" w:rsidP="00BA124D">
      <w:pPr>
        <w:pStyle w:val="PargrafodaLista"/>
        <w:numPr>
          <w:ilvl w:val="0"/>
          <w:numId w:val="8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BA124D">
        <w:rPr>
          <w:rFonts w:eastAsia="Times New Roman" w:cstheme="minorHAnsi"/>
          <w:noProof w:val="0"/>
          <w:color w:val="334152"/>
          <w:lang w:eastAsia="pt-BR"/>
        </w:rPr>
        <w:t xml:space="preserve">Transposições, que trata das alterações </w:t>
      </w:r>
      <w:r w:rsidR="007C0032" w:rsidRPr="00BA124D">
        <w:rPr>
          <w:rFonts w:eastAsia="Times New Roman" w:cstheme="minorHAnsi"/>
          <w:noProof w:val="0"/>
          <w:color w:val="334152"/>
          <w:lang w:eastAsia="pt-BR"/>
        </w:rPr>
        <w:t>orçamentárias, quando suplementada uma dotação orçamentária e reduzida de outra</w:t>
      </w:r>
      <w:r w:rsidR="009F56E4" w:rsidRPr="00BA124D">
        <w:rPr>
          <w:rFonts w:eastAsia="Times New Roman" w:cstheme="minorHAnsi"/>
          <w:noProof w:val="0"/>
          <w:color w:val="334152"/>
          <w:lang w:eastAsia="pt-BR"/>
        </w:rPr>
        <w:t>, de diferentes atividades, mas de mesma unidade orçamentária.</w:t>
      </w:r>
    </w:p>
    <w:p w:rsidR="009F56E4" w:rsidRDefault="00557C2E" w:rsidP="00BA124D">
      <w:pPr>
        <w:pStyle w:val="PargrafodaLista"/>
        <w:numPr>
          <w:ilvl w:val="0"/>
          <w:numId w:val="8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Remanejamentos, que trata das alterações orçamentárias, quando suplementada uma dotação orçamentária e reduzida </w:t>
      </w:r>
      <w:r w:rsidR="00BA03AB">
        <w:rPr>
          <w:rFonts w:eastAsia="Times New Roman" w:cstheme="minorHAnsi"/>
          <w:noProof w:val="0"/>
          <w:color w:val="334152"/>
          <w:lang w:eastAsia="pt-BR"/>
        </w:rPr>
        <w:t>de outra, de diferentes atividades e de diferentes unidades orçamentárias.</w:t>
      </w:r>
    </w:p>
    <w:p w:rsidR="00551164" w:rsidRPr="00D85ACF" w:rsidRDefault="00551164" w:rsidP="00551164">
      <w:pPr>
        <w:pStyle w:val="PargrafodaLista"/>
        <w:ind w:left="2061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551164" w:rsidRPr="00551164" w:rsidRDefault="00551164" w:rsidP="00551164">
      <w:pPr>
        <w:shd w:val="clear" w:color="auto" w:fill="FFFFFF"/>
        <w:spacing w:after="225" w:line="240" w:lineRule="auto"/>
        <w:jc w:val="center"/>
        <w:rPr>
          <w:rFonts w:eastAsia="Times New Roman" w:cstheme="minorHAnsi"/>
          <w:noProof w:val="0"/>
          <w:color w:val="334152"/>
          <w:lang w:eastAsia="pt-BR"/>
        </w:rPr>
      </w:pPr>
      <w:r w:rsidRPr="00551164">
        <w:rPr>
          <w:rFonts w:eastAsia="Times New Roman" w:cstheme="minorHAnsi"/>
          <w:noProof w:val="0"/>
          <w:color w:val="334152"/>
          <w:lang w:eastAsia="pt-BR"/>
        </w:rPr>
        <w:t>I</w:t>
      </w:r>
      <w:r>
        <w:rPr>
          <w:rFonts w:eastAsia="Times New Roman" w:cstheme="minorHAnsi"/>
          <w:noProof w:val="0"/>
          <w:color w:val="334152"/>
          <w:lang w:eastAsia="pt-BR"/>
        </w:rPr>
        <w:t>V</w:t>
      </w:r>
      <w:r w:rsidRPr="00551164">
        <w:rPr>
          <w:rFonts w:eastAsia="Times New Roman" w:cstheme="minorHAnsi"/>
          <w:noProof w:val="0"/>
          <w:color w:val="334152"/>
          <w:lang w:eastAsia="pt-BR"/>
        </w:rPr>
        <w:t xml:space="preserve"> – </w:t>
      </w:r>
      <w:r>
        <w:rPr>
          <w:rFonts w:eastAsia="Times New Roman" w:cstheme="minorHAnsi"/>
          <w:noProof w:val="0"/>
          <w:color w:val="334152"/>
          <w:lang w:eastAsia="pt-BR"/>
        </w:rPr>
        <w:t>Dos Procedimentos</w:t>
      </w:r>
    </w:p>
    <w:p w:rsidR="006C536C" w:rsidRDefault="00AB0864" w:rsidP="00AF63C8">
      <w:pPr>
        <w:ind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</w:t>
      </w:r>
      <w:r>
        <w:rPr>
          <w:rFonts w:eastAsia="Times New Roman" w:cstheme="minorHAnsi"/>
          <w:noProof w:val="0"/>
          <w:color w:val="334152"/>
          <w:lang w:eastAsia="pt-BR"/>
        </w:rPr>
        <w:t>6</w:t>
      </w: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º </w:t>
      </w:r>
      <w:r>
        <w:rPr>
          <w:rFonts w:eastAsia="Times New Roman" w:cstheme="minorHAnsi"/>
          <w:noProof w:val="0"/>
          <w:color w:val="334152"/>
          <w:lang w:eastAsia="pt-BR"/>
        </w:rPr>
        <w:t>As unidades orçamentárias</w:t>
      </w:r>
      <w:r w:rsidR="0054636C">
        <w:rPr>
          <w:rFonts w:eastAsia="Times New Roman" w:cstheme="minorHAnsi"/>
          <w:noProof w:val="0"/>
          <w:color w:val="334152"/>
          <w:lang w:eastAsia="pt-BR"/>
        </w:rPr>
        <w:t xml:space="preserve">, de todas as entidades municipais, efetuarão pedido para reforço de dotações, </w:t>
      </w:r>
      <w:r w:rsidR="009837AC">
        <w:rPr>
          <w:rFonts w:eastAsia="Times New Roman" w:cstheme="minorHAnsi"/>
          <w:noProof w:val="0"/>
          <w:color w:val="334152"/>
          <w:lang w:eastAsia="pt-BR"/>
        </w:rPr>
        <w:t xml:space="preserve">através de memorando, </w:t>
      </w:r>
      <w:r w:rsidR="0054636C">
        <w:rPr>
          <w:rFonts w:eastAsia="Times New Roman" w:cstheme="minorHAnsi"/>
          <w:noProof w:val="0"/>
          <w:color w:val="334152"/>
          <w:lang w:eastAsia="pt-BR"/>
        </w:rPr>
        <w:t xml:space="preserve">para </w:t>
      </w:r>
      <w:r w:rsidR="009837AC">
        <w:rPr>
          <w:rFonts w:eastAsia="Times New Roman" w:cstheme="minorHAnsi"/>
          <w:noProof w:val="0"/>
          <w:color w:val="334152"/>
          <w:lang w:eastAsia="pt-BR"/>
        </w:rPr>
        <w:t>as já</w:t>
      </w:r>
      <w:r w:rsidR="0054636C">
        <w:rPr>
          <w:rFonts w:eastAsia="Times New Roman" w:cstheme="minorHAnsi"/>
          <w:noProof w:val="0"/>
          <w:color w:val="334152"/>
          <w:lang w:eastAsia="pt-BR"/>
        </w:rPr>
        <w:t xml:space="preserve"> existentes ou </w:t>
      </w:r>
      <w:r w:rsidR="009837AC">
        <w:rPr>
          <w:rFonts w:eastAsia="Times New Roman" w:cstheme="minorHAnsi"/>
          <w:noProof w:val="0"/>
          <w:color w:val="334152"/>
          <w:lang w:eastAsia="pt-BR"/>
        </w:rPr>
        <w:t xml:space="preserve">novas dotações, </w:t>
      </w:r>
      <w:r w:rsidR="005C59D6">
        <w:rPr>
          <w:rFonts w:eastAsia="Times New Roman" w:cstheme="minorHAnsi"/>
          <w:noProof w:val="0"/>
          <w:color w:val="334152"/>
          <w:lang w:eastAsia="pt-BR"/>
        </w:rPr>
        <w:t>sugerindo o tipo de crédito e sua fonte ou os tipos das reformulações administrativas, cabendo a Secretaria de Planejamento efetuar os ajustes ou alterações necessárias, para cumprimento da legislação</w:t>
      </w:r>
      <w:r w:rsidR="00631874">
        <w:rPr>
          <w:rFonts w:eastAsia="Times New Roman" w:cstheme="minorHAnsi"/>
          <w:noProof w:val="0"/>
          <w:color w:val="334152"/>
          <w:lang w:eastAsia="pt-BR"/>
        </w:rPr>
        <w:t>, devendo seguir as seguintes determinações:</w:t>
      </w:r>
    </w:p>
    <w:p w:rsidR="000B7167" w:rsidRPr="00510F19" w:rsidRDefault="000B7167" w:rsidP="000B7167">
      <w:pPr>
        <w:pStyle w:val="PargrafodaLista"/>
        <w:numPr>
          <w:ilvl w:val="0"/>
          <w:numId w:val="10"/>
        </w:numPr>
        <w:ind w:left="709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  <w:r w:rsidRPr="00510F19">
        <w:rPr>
          <w:rFonts w:eastAsia="Times New Roman" w:cstheme="minorHAnsi"/>
          <w:b/>
          <w:bCs/>
          <w:noProof w:val="0"/>
          <w:color w:val="334152"/>
          <w:lang w:eastAsia="pt-BR"/>
        </w:rPr>
        <w:t>Unidades Orçamentárias ou entidades:</w:t>
      </w:r>
    </w:p>
    <w:p w:rsidR="00B43766" w:rsidRDefault="00B43766" w:rsidP="00B43766">
      <w:pPr>
        <w:pStyle w:val="PargrafodaLista"/>
        <w:ind w:left="709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0617D0" w:rsidRDefault="003E26D3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E</w:t>
      </w:r>
      <w:r w:rsidR="000617D0">
        <w:rPr>
          <w:rFonts w:eastAsia="Times New Roman" w:cstheme="minorHAnsi"/>
          <w:noProof w:val="0"/>
          <w:color w:val="334152"/>
          <w:lang w:eastAsia="pt-BR"/>
        </w:rPr>
        <w:t xml:space="preserve">fetuar memorando solicitado a alteração orçamentária </w:t>
      </w:r>
      <w:r>
        <w:rPr>
          <w:rFonts w:eastAsia="Times New Roman" w:cstheme="minorHAnsi"/>
          <w:noProof w:val="0"/>
          <w:color w:val="334152"/>
          <w:lang w:eastAsia="pt-BR"/>
        </w:rPr>
        <w:t>desejada</w:t>
      </w:r>
      <w:r w:rsidR="00FD791F">
        <w:rPr>
          <w:rFonts w:eastAsia="Times New Roman" w:cstheme="minorHAnsi"/>
          <w:noProof w:val="0"/>
          <w:color w:val="334152"/>
          <w:lang w:eastAsia="pt-BR"/>
        </w:rPr>
        <w:t xml:space="preserve">, conforme </w:t>
      </w:r>
      <w:r w:rsidR="00AD2513" w:rsidRPr="00A646F0">
        <w:rPr>
          <w:rFonts w:eastAsia="Times New Roman" w:cstheme="minorHAnsi"/>
          <w:b/>
          <w:bCs/>
          <w:noProof w:val="0"/>
          <w:color w:val="334152"/>
          <w:lang w:eastAsia="pt-BR"/>
        </w:rPr>
        <w:t>ANEXO</w:t>
      </w:r>
      <w:r w:rsidR="00FD791F" w:rsidRPr="00A646F0">
        <w:rPr>
          <w:rFonts w:eastAsia="Times New Roman" w:cstheme="minorHAnsi"/>
          <w:b/>
          <w:bCs/>
          <w:noProof w:val="0"/>
          <w:color w:val="334152"/>
          <w:lang w:eastAsia="pt-BR"/>
        </w:rPr>
        <w:t xml:space="preserve"> III</w:t>
      </w:r>
      <w:r w:rsidR="00822501">
        <w:rPr>
          <w:rFonts w:eastAsia="Times New Roman" w:cstheme="minorHAnsi"/>
          <w:noProof w:val="0"/>
          <w:color w:val="334152"/>
          <w:lang w:eastAsia="pt-BR"/>
        </w:rPr>
        <w:t>, em duas vias</w:t>
      </w:r>
      <w:r w:rsidR="00D863B1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D863B1" w:rsidRDefault="00800080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lastRenderedPageBreak/>
        <w:t>Mencionar</w:t>
      </w:r>
      <w:r w:rsidR="003E26D3">
        <w:rPr>
          <w:rFonts w:eastAsia="Times New Roman" w:cstheme="minorHAnsi"/>
          <w:noProof w:val="0"/>
          <w:color w:val="334152"/>
          <w:lang w:eastAsia="pt-BR"/>
        </w:rPr>
        <w:t xml:space="preserve"> a lei autorizativa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 ou sugerir que seja por lei específica</w:t>
      </w:r>
      <w:r w:rsidR="00D863B1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280A10" w:rsidRDefault="00280A10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No caso de superávit financeiro, anexar </w:t>
      </w:r>
      <w:r w:rsidR="00F06D7D">
        <w:rPr>
          <w:rFonts w:eastAsia="Times New Roman" w:cstheme="minorHAnsi"/>
          <w:noProof w:val="0"/>
          <w:color w:val="334152"/>
          <w:lang w:eastAsia="pt-BR"/>
        </w:rPr>
        <w:t>cópia do Balanço Patrimonial da entidade;</w:t>
      </w:r>
    </w:p>
    <w:p w:rsidR="00F06D7D" w:rsidRDefault="00FD791F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No caso de excesso de arrecadação, indicar as codificações das receitas orçamentárias e seus percentuais de fontes de recursos</w:t>
      </w:r>
      <w:r w:rsidR="00F31959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F31959" w:rsidRDefault="00F31959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No caso de </w:t>
      </w:r>
      <w:r w:rsidR="00B643F5">
        <w:rPr>
          <w:rFonts w:eastAsia="Times New Roman" w:cstheme="minorHAnsi"/>
          <w:noProof w:val="0"/>
          <w:color w:val="334152"/>
          <w:lang w:eastAsia="pt-BR"/>
        </w:rPr>
        <w:t>anulação de dotação, apontar as de</w:t>
      </w:r>
      <w:r w:rsidR="007D7EB6">
        <w:rPr>
          <w:rFonts w:eastAsia="Times New Roman" w:cstheme="minorHAnsi"/>
          <w:noProof w:val="0"/>
          <w:color w:val="334152"/>
          <w:lang w:eastAsia="pt-BR"/>
        </w:rPr>
        <w:t>s</w:t>
      </w:r>
      <w:r w:rsidR="00B643F5">
        <w:rPr>
          <w:rFonts w:eastAsia="Times New Roman" w:cstheme="minorHAnsi"/>
          <w:noProof w:val="0"/>
          <w:color w:val="334152"/>
          <w:lang w:eastAsia="pt-BR"/>
        </w:rPr>
        <w:t xml:space="preserve">pesas a serem </w:t>
      </w:r>
      <w:r w:rsidR="007D7EB6">
        <w:rPr>
          <w:rFonts w:eastAsia="Times New Roman" w:cstheme="minorHAnsi"/>
          <w:noProof w:val="0"/>
          <w:color w:val="334152"/>
          <w:lang w:eastAsia="pt-BR"/>
        </w:rPr>
        <w:t>deduzidas, mesmo que de outras unidades orçamentárias ou entidades;</w:t>
      </w:r>
    </w:p>
    <w:p w:rsidR="00B643F5" w:rsidRDefault="00B643F5" w:rsidP="00B643F5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Efetuar reserva de dotação das dotações a serem reduzidas, para que não sejam utilizadas no decorrer da aprovação do projeto de Lei pelo Legislativo e do Decreto do Chefe do Executivo. </w:t>
      </w:r>
    </w:p>
    <w:p w:rsidR="00B643F5" w:rsidRDefault="000B45F1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No caso de operações de crédito, apontar a lei específica autorizativa aprovada pelo Legislativo;</w:t>
      </w:r>
    </w:p>
    <w:p w:rsidR="000B45F1" w:rsidRDefault="009E3610" w:rsidP="000617D0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Para o caso de Reformulação Administrativa, informar as despesas a serem suple</w:t>
      </w:r>
      <w:r w:rsidR="00C530D3">
        <w:rPr>
          <w:rFonts w:eastAsia="Times New Roman" w:cstheme="minorHAnsi"/>
          <w:noProof w:val="0"/>
          <w:color w:val="334152"/>
          <w:lang w:eastAsia="pt-BR"/>
        </w:rPr>
        <w:t>mentadas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 e deduzidas, cabendo a secretaria de </w:t>
      </w:r>
      <w:r w:rsidR="00C530D3">
        <w:rPr>
          <w:rFonts w:eastAsia="Times New Roman" w:cstheme="minorHAnsi"/>
          <w:noProof w:val="0"/>
          <w:color w:val="334152"/>
          <w:lang w:eastAsia="pt-BR"/>
        </w:rPr>
        <w:t>planejamento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 a classificação, conforme suas </w:t>
      </w:r>
      <w:r w:rsidR="00C530D3">
        <w:rPr>
          <w:rFonts w:eastAsia="Times New Roman" w:cstheme="minorHAnsi"/>
          <w:noProof w:val="0"/>
          <w:color w:val="334152"/>
          <w:lang w:eastAsia="pt-BR"/>
        </w:rPr>
        <w:t>peculiaridades;</w:t>
      </w:r>
    </w:p>
    <w:p w:rsidR="000564B7" w:rsidRDefault="000564B7" w:rsidP="000564B7">
      <w:pPr>
        <w:pStyle w:val="PargrafodaLista"/>
        <w:ind w:left="1069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0564B7" w:rsidRPr="00510F19" w:rsidRDefault="00822501" w:rsidP="00510F19">
      <w:pPr>
        <w:pStyle w:val="PargrafodaLista"/>
        <w:numPr>
          <w:ilvl w:val="0"/>
          <w:numId w:val="10"/>
        </w:numPr>
        <w:ind w:left="709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  <w:r w:rsidRPr="00510F19">
        <w:rPr>
          <w:rFonts w:eastAsia="Times New Roman" w:cstheme="minorHAnsi"/>
          <w:b/>
          <w:bCs/>
          <w:noProof w:val="0"/>
          <w:color w:val="334152"/>
          <w:lang w:eastAsia="pt-BR"/>
        </w:rPr>
        <w:t>Secretaria de Planejamento</w:t>
      </w:r>
      <w:r w:rsidR="000564B7" w:rsidRPr="00510F19">
        <w:rPr>
          <w:rFonts w:eastAsia="Times New Roman" w:cstheme="minorHAnsi"/>
          <w:b/>
          <w:bCs/>
          <w:noProof w:val="0"/>
          <w:color w:val="334152"/>
          <w:lang w:eastAsia="pt-BR"/>
        </w:rPr>
        <w:t>:</w:t>
      </w:r>
    </w:p>
    <w:p w:rsidR="00B43766" w:rsidRDefault="00B43766" w:rsidP="00B43766">
      <w:pPr>
        <w:pStyle w:val="PargrafodaLista"/>
        <w:ind w:left="709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0564B7" w:rsidRDefault="00822501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Receber o memorando de intenção das unidades orçamentárias</w:t>
      </w:r>
      <w:r w:rsidR="00197C08">
        <w:rPr>
          <w:rFonts w:eastAsia="Times New Roman" w:cstheme="minorHAnsi"/>
          <w:noProof w:val="0"/>
          <w:color w:val="334152"/>
          <w:lang w:eastAsia="pt-BR"/>
        </w:rPr>
        <w:t>, inclusive de outras entidades municipais, devolvendo a segunda via protocolada;</w:t>
      </w:r>
    </w:p>
    <w:p w:rsidR="0065304F" w:rsidRDefault="00637F36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Abertura de processo administrativo, incluindo todos os memorando de solicitação, entregues até a </w:t>
      </w:r>
      <w:r w:rsidR="0065304F">
        <w:rPr>
          <w:rFonts w:eastAsia="Times New Roman" w:cstheme="minorHAnsi"/>
          <w:noProof w:val="0"/>
          <w:color w:val="334152"/>
          <w:lang w:eastAsia="pt-BR"/>
        </w:rPr>
        <w:t>data da elaboração do projeto de lei e/ou minuta de decreto;</w:t>
      </w:r>
    </w:p>
    <w:p w:rsidR="00197C08" w:rsidRDefault="00637F36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65304F">
        <w:rPr>
          <w:rFonts w:eastAsia="Times New Roman" w:cstheme="minorHAnsi"/>
          <w:noProof w:val="0"/>
          <w:color w:val="334152"/>
          <w:lang w:eastAsia="pt-BR"/>
        </w:rPr>
        <w:t xml:space="preserve">Efetuará a reclassificação dos tipos de créditos adicionais, suas fontes e das reformulações administrativas, </w:t>
      </w:r>
      <w:r w:rsidR="00BF5647">
        <w:rPr>
          <w:rFonts w:eastAsia="Times New Roman" w:cstheme="minorHAnsi"/>
          <w:noProof w:val="0"/>
          <w:color w:val="334152"/>
          <w:lang w:eastAsia="pt-BR"/>
        </w:rPr>
        <w:t xml:space="preserve">informando </w:t>
      </w:r>
      <w:r w:rsidR="00A117CD">
        <w:rPr>
          <w:rFonts w:eastAsia="Times New Roman" w:cstheme="minorHAnsi"/>
          <w:noProof w:val="0"/>
          <w:color w:val="334152"/>
          <w:lang w:eastAsia="pt-BR"/>
        </w:rPr>
        <w:t xml:space="preserve">as unidades orçamentarias solicitantes, </w:t>
      </w:r>
      <w:r w:rsidR="00BF5647">
        <w:rPr>
          <w:rFonts w:eastAsia="Times New Roman" w:cstheme="minorHAnsi"/>
          <w:noProof w:val="0"/>
          <w:color w:val="334152"/>
          <w:lang w:eastAsia="pt-BR"/>
        </w:rPr>
        <w:t>possíveis alterações ou ajustes</w:t>
      </w:r>
      <w:r w:rsidR="00A117CD">
        <w:rPr>
          <w:rFonts w:eastAsia="Times New Roman" w:cstheme="minorHAnsi"/>
          <w:noProof w:val="0"/>
          <w:color w:val="334152"/>
          <w:lang w:eastAsia="pt-BR"/>
        </w:rPr>
        <w:t>, caso ocorridos;</w:t>
      </w:r>
    </w:p>
    <w:p w:rsidR="00A117CD" w:rsidRDefault="00FD3285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Efetuar o cadastramento </w:t>
      </w:r>
      <w:r w:rsidR="00A1695B">
        <w:rPr>
          <w:rFonts w:eastAsia="Times New Roman" w:cstheme="minorHAnsi"/>
          <w:noProof w:val="0"/>
          <w:color w:val="334152"/>
          <w:lang w:eastAsia="pt-BR"/>
        </w:rPr>
        <w:t xml:space="preserve">dos 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novas </w:t>
      </w:r>
      <w:r w:rsidR="00A1695B">
        <w:rPr>
          <w:rFonts w:eastAsia="Times New Roman" w:cstheme="minorHAnsi"/>
          <w:noProof w:val="0"/>
          <w:color w:val="334152"/>
          <w:lang w:eastAsia="pt-BR"/>
        </w:rPr>
        <w:t xml:space="preserve">programas e projetos/atividades 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no módulo orçamentário, com seus objetivos e </w:t>
      </w:r>
      <w:r w:rsidR="00A1695B">
        <w:rPr>
          <w:rFonts w:eastAsia="Times New Roman" w:cstheme="minorHAnsi"/>
          <w:noProof w:val="0"/>
          <w:color w:val="334152"/>
          <w:lang w:eastAsia="pt-BR"/>
        </w:rPr>
        <w:t xml:space="preserve">justificativas e cadastramento da funcional programática </w:t>
      </w:r>
      <w:r w:rsidR="004B4144">
        <w:rPr>
          <w:rFonts w:eastAsia="Times New Roman" w:cstheme="minorHAnsi"/>
          <w:noProof w:val="0"/>
          <w:color w:val="334152"/>
          <w:lang w:eastAsia="pt-BR"/>
        </w:rPr>
        <w:t>na contabilidade;</w:t>
      </w:r>
    </w:p>
    <w:p w:rsidR="004B4144" w:rsidRDefault="004B4144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No caso de dúvida, deverá ser efetuada consulta a contabilidade central, para verificar se a codificação da funcional programática está condizente com a legislação atual;</w:t>
      </w:r>
    </w:p>
    <w:p w:rsidR="00E963D9" w:rsidRDefault="00FB6202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Lançar o </w:t>
      </w:r>
      <w:r w:rsidR="00E963D9">
        <w:rPr>
          <w:rFonts w:eastAsia="Times New Roman" w:cstheme="minorHAnsi"/>
          <w:noProof w:val="0"/>
          <w:color w:val="334152"/>
          <w:lang w:eastAsia="pt-BR"/>
        </w:rPr>
        <w:t>P</w:t>
      </w:r>
      <w:r>
        <w:rPr>
          <w:rFonts w:eastAsia="Times New Roman" w:cstheme="minorHAnsi"/>
          <w:noProof w:val="0"/>
          <w:color w:val="334152"/>
          <w:lang w:eastAsia="pt-BR"/>
        </w:rPr>
        <w:t>rojeto de Lei, para os casos que necessitem de Lei Específica</w:t>
      </w:r>
      <w:r w:rsidR="00E963D9">
        <w:rPr>
          <w:rFonts w:eastAsia="Times New Roman" w:cstheme="minorHAnsi"/>
          <w:noProof w:val="0"/>
          <w:color w:val="334152"/>
          <w:lang w:eastAsia="pt-BR"/>
        </w:rPr>
        <w:t>, onde será reservado as dotações a serem reduzidas;</w:t>
      </w:r>
    </w:p>
    <w:p w:rsidR="00471975" w:rsidRDefault="00471975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Solicitar ao Jurídico d</w:t>
      </w:r>
      <w:r w:rsidR="002363B6">
        <w:rPr>
          <w:rFonts w:eastAsia="Times New Roman" w:cstheme="minorHAnsi"/>
          <w:noProof w:val="0"/>
          <w:color w:val="334152"/>
          <w:lang w:eastAsia="pt-BR"/>
        </w:rPr>
        <w:t xml:space="preserve">a Prefeitura, para que digite </w:t>
      </w:r>
      <w:r w:rsidR="00A42A2A">
        <w:rPr>
          <w:rFonts w:eastAsia="Times New Roman" w:cstheme="minorHAnsi"/>
          <w:noProof w:val="0"/>
          <w:color w:val="334152"/>
          <w:lang w:eastAsia="pt-BR"/>
        </w:rPr>
        <w:t>a justificativa que será anexada ao Projeto de Lei, para encaminhamento ao Legislativo;</w:t>
      </w:r>
    </w:p>
    <w:p w:rsidR="004B4144" w:rsidRDefault="004B4144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 </w:t>
      </w:r>
      <w:r w:rsidR="00E963D9">
        <w:rPr>
          <w:rFonts w:eastAsia="Times New Roman" w:cstheme="minorHAnsi"/>
          <w:noProof w:val="0"/>
          <w:color w:val="334152"/>
          <w:lang w:eastAsia="pt-BR"/>
        </w:rPr>
        <w:t xml:space="preserve">Lançar o Decreto, para os casos </w:t>
      </w:r>
      <w:r w:rsidR="00471975">
        <w:rPr>
          <w:rFonts w:eastAsia="Times New Roman" w:cstheme="minorHAnsi"/>
          <w:noProof w:val="0"/>
          <w:color w:val="334152"/>
          <w:lang w:eastAsia="pt-BR"/>
        </w:rPr>
        <w:t>de autorização por Lei Orçamentária emitindo o modelo para encaminhamento ao chefe do executivo para assinatura;</w:t>
      </w:r>
    </w:p>
    <w:p w:rsidR="00471975" w:rsidRDefault="00486569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Após aprovado o Projeto de Lei Específico</w:t>
      </w:r>
      <w:r w:rsidR="009A028D">
        <w:rPr>
          <w:rFonts w:eastAsia="Times New Roman" w:cstheme="minorHAnsi"/>
          <w:noProof w:val="0"/>
          <w:color w:val="334152"/>
          <w:lang w:eastAsia="pt-BR"/>
        </w:rPr>
        <w:t xml:space="preserve"> e publicada a Lei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, editar o Decreto </w:t>
      </w:r>
      <w:r w:rsidR="00F33463">
        <w:rPr>
          <w:rFonts w:eastAsia="Times New Roman" w:cstheme="minorHAnsi"/>
          <w:noProof w:val="0"/>
          <w:color w:val="334152"/>
          <w:lang w:eastAsia="pt-BR"/>
        </w:rPr>
        <w:t>para assinatura do chefe do executivo;</w:t>
      </w:r>
    </w:p>
    <w:p w:rsidR="00F33463" w:rsidRDefault="00F33463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Após publicação d</w:t>
      </w:r>
      <w:r w:rsidR="009A028D">
        <w:rPr>
          <w:rFonts w:eastAsia="Times New Roman" w:cstheme="minorHAnsi"/>
          <w:noProof w:val="0"/>
          <w:color w:val="334152"/>
          <w:lang w:eastAsia="pt-BR"/>
        </w:rPr>
        <w:t>o Decreto, será efetuado o processamento dos decretos, para atualização das dotações orçamentárias;</w:t>
      </w:r>
    </w:p>
    <w:p w:rsidR="009A028D" w:rsidRDefault="00841529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Para os casos de Excesso de Arrecadação, o Planejamento deverá alimentar a planilha do </w:t>
      </w:r>
      <w:r w:rsidRPr="00181E3C">
        <w:rPr>
          <w:rFonts w:eastAsia="Times New Roman" w:cstheme="minorHAnsi"/>
          <w:b/>
          <w:bCs/>
          <w:noProof w:val="0"/>
          <w:color w:val="334152"/>
          <w:lang w:eastAsia="pt-BR"/>
        </w:rPr>
        <w:t>ANEXO II</w:t>
      </w:r>
      <w:r>
        <w:rPr>
          <w:rFonts w:eastAsia="Times New Roman" w:cstheme="minorHAnsi"/>
          <w:noProof w:val="0"/>
          <w:color w:val="334152"/>
          <w:lang w:eastAsia="pt-BR"/>
        </w:rPr>
        <w:t>, an</w:t>
      </w:r>
      <w:r w:rsidR="009209AB">
        <w:rPr>
          <w:rFonts w:eastAsia="Times New Roman" w:cstheme="minorHAnsi"/>
          <w:noProof w:val="0"/>
          <w:color w:val="334152"/>
          <w:lang w:eastAsia="pt-BR"/>
        </w:rPr>
        <w:t>tes de emitir o projeto de Lei e/ou decreto;</w:t>
      </w:r>
    </w:p>
    <w:p w:rsidR="009209AB" w:rsidRDefault="009209AB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Para os casos de </w:t>
      </w:r>
      <w:r w:rsidR="00B169E2">
        <w:rPr>
          <w:rFonts w:eastAsia="Times New Roman" w:cstheme="minorHAnsi"/>
          <w:noProof w:val="0"/>
          <w:color w:val="334152"/>
          <w:lang w:eastAsia="pt-BR"/>
        </w:rPr>
        <w:t xml:space="preserve">Superávit financeiro, o planejamento </w:t>
      </w:r>
      <w:r w:rsidR="001326DB">
        <w:rPr>
          <w:rFonts w:eastAsia="Times New Roman" w:cstheme="minorHAnsi"/>
          <w:noProof w:val="0"/>
          <w:color w:val="334152"/>
          <w:lang w:eastAsia="pt-BR"/>
        </w:rPr>
        <w:t>deverá verificar o limite do Balanço Patrimonial Consolidado do exercício anterior, verificando as fontes de recursos que poderão ocorrer a suplementação de dotação;</w:t>
      </w:r>
    </w:p>
    <w:p w:rsidR="00B10788" w:rsidRDefault="00B10788" w:rsidP="000564B7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Juntar todas as Leis e Decretos editados no exercício</w:t>
      </w:r>
      <w:r w:rsidR="0027459A">
        <w:rPr>
          <w:rFonts w:eastAsia="Times New Roman" w:cstheme="minorHAnsi"/>
          <w:noProof w:val="0"/>
          <w:color w:val="334152"/>
          <w:lang w:eastAsia="pt-BR"/>
        </w:rPr>
        <w:t xml:space="preserve">, no formato PDF, 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para entrega ao setor de contabilidade até o </w:t>
      </w:r>
      <w:r w:rsidR="00373043">
        <w:rPr>
          <w:rFonts w:eastAsia="Times New Roman" w:cstheme="minorHAnsi"/>
          <w:noProof w:val="0"/>
          <w:color w:val="334152"/>
          <w:lang w:eastAsia="pt-BR"/>
        </w:rPr>
        <w:t>5º (quinto) dia útil do exercício subsequente;</w:t>
      </w:r>
    </w:p>
    <w:p w:rsidR="00B43766" w:rsidRDefault="00B43766" w:rsidP="00B43766">
      <w:pPr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B43766" w:rsidRDefault="00510F19" w:rsidP="00B43766">
      <w:pPr>
        <w:pStyle w:val="PargrafodaLista"/>
        <w:numPr>
          <w:ilvl w:val="0"/>
          <w:numId w:val="10"/>
        </w:numPr>
        <w:ind w:left="851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  <w:r>
        <w:rPr>
          <w:rFonts w:eastAsia="Times New Roman" w:cstheme="minorHAnsi"/>
          <w:b/>
          <w:bCs/>
          <w:noProof w:val="0"/>
          <w:color w:val="334152"/>
          <w:lang w:eastAsia="pt-BR"/>
        </w:rPr>
        <w:t>Assessoria Jurídica</w:t>
      </w:r>
      <w:r w:rsidR="00B43766" w:rsidRPr="00510F19">
        <w:rPr>
          <w:rFonts w:eastAsia="Times New Roman" w:cstheme="minorHAnsi"/>
          <w:b/>
          <w:bCs/>
          <w:noProof w:val="0"/>
          <w:color w:val="334152"/>
          <w:lang w:eastAsia="pt-BR"/>
        </w:rPr>
        <w:t>:</w:t>
      </w:r>
    </w:p>
    <w:p w:rsidR="00510F19" w:rsidRPr="00510F19" w:rsidRDefault="00510F19" w:rsidP="00510F19">
      <w:pPr>
        <w:pStyle w:val="PargrafodaLista"/>
        <w:ind w:left="851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</w:p>
    <w:p w:rsidR="000564B7" w:rsidRDefault="000E1E17" w:rsidP="00510F19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Descrever o memorando ou justificativa que acompanha o projeto de Lei;</w:t>
      </w:r>
    </w:p>
    <w:p w:rsidR="000E1E17" w:rsidRDefault="000E1E17" w:rsidP="00510F19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lastRenderedPageBreak/>
        <w:t xml:space="preserve">Analisar </w:t>
      </w:r>
      <w:r w:rsidR="000C4F7E">
        <w:rPr>
          <w:rFonts w:eastAsia="Times New Roman" w:cstheme="minorHAnsi"/>
          <w:noProof w:val="0"/>
          <w:color w:val="334152"/>
          <w:lang w:eastAsia="pt-BR"/>
        </w:rPr>
        <w:t>se o tipo de crédito a ser utilizado no Projeto de Lei ou no Decreto está de acordo com a legislação vigente</w:t>
      </w:r>
      <w:r w:rsidR="00CF0B67">
        <w:rPr>
          <w:rFonts w:eastAsia="Times New Roman" w:cstheme="minorHAnsi"/>
          <w:noProof w:val="0"/>
          <w:color w:val="334152"/>
          <w:lang w:eastAsia="pt-BR"/>
        </w:rPr>
        <w:t>, orientando a Secretaria de Planejamento que faça a correção dos casos que infringem a legislação</w:t>
      </w:r>
      <w:r w:rsidR="000C4F7E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CF0B67" w:rsidRDefault="00CF0B67" w:rsidP="00CF0B67">
      <w:pPr>
        <w:pStyle w:val="PargrafodaLista"/>
        <w:ind w:left="1069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373043" w:rsidRDefault="00373043" w:rsidP="00373043">
      <w:pPr>
        <w:pStyle w:val="PargrafodaLista"/>
        <w:numPr>
          <w:ilvl w:val="0"/>
          <w:numId w:val="10"/>
        </w:numPr>
        <w:ind w:left="851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  <w:r>
        <w:rPr>
          <w:rFonts w:eastAsia="Times New Roman" w:cstheme="minorHAnsi"/>
          <w:b/>
          <w:bCs/>
          <w:noProof w:val="0"/>
          <w:color w:val="334152"/>
          <w:lang w:eastAsia="pt-BR"/>
        </w:rPr>
        <w:t>Contabilidad</w:t>
      </w:r>
      <w:r w:rsidR="0027459A">
        <w:rPr>
          <w:rFonts w:eastAsia="Times New Roman" w:cstheme="minorHAnsi"/>
          <w:b/>
          <w:bCs/>
          <w:noProof w:val="0"/>
          <w:color w:val="334152"/>
          <w:lang w:eastAsia="pt-BR"/>
        </w:rPr>
        <w:t>e</w:t>
      </w:r>
      <w:r>
        <w:rPr>
          <w:rFonts w:eastAsia="Times New Roman" w:cstheme="minorHAnsi"/>
          <w:b/>
          <w:bCs/>
          <w:noProof w:val="0"/>
          <w:color w:val="334152"/>
          <w:lang w:eastAsia="pt-BR"/>
        </w:rPr>
        <w:t xml:space="preserve"> Central</w:t>
      </w:r>
      <w:r w:rsidRPr="00510F19">
        <w:rPr>
          <w:rFonts w:eastAsia="Times New Roman" w:cstheme="minorHAnsi"/>
          <w:b/>
          <w:bCs/>
          <w:noProof w:val="0"/>
          <w:color w:val="334152"/>
          <w:lang w:eastAsia="pt-BR"/>
        </w:rPr>
        <w:t>:</w:t>
      </w:r>
    </w:p>
    <w:p w:rsidR="00373043" w:rsidRPr="00510F19" w:rsidRDefault="00373043" w:rsidP="00373043">
      <w:pPr>
        <w:pStyle w:val="PargrafodaLista"/>
        <w:ind w:left="851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</w:p>
    <w:p w:rsidR="00373043" w:rsidRDefault="0027459A" w:rsidP="00373043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Conferir as Leis e Decretos disponibilizados em PDF, se estão de acordo com o TC-</w:t>
      </w:r>
      <w:r w:rsidR="00154CEA">
        <w:rPr>
          <w:rFonts w:eastAsia="Times New Roman" w:cstheme="minorHAnsi"/>
          <w:noProof w:val="0"/>
          <w:color w:val="334152"/>
          <w:lang w:eastAsia="pt-BR"/>
        </w:rPr>
        <w:t>18, exigido pelo Tribunal de Contas, conforme Instrução Normativa 13/2004</w:t>
      </w:r>
      <w:r w:rsidR="00373043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373043" w:rsidRDefault="00154CEA" w:rsidP="00373043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Juntar na prestação de contas </w:t>
      </w:r>
      <w:r w:rsidR="00CF0B67">
        <w:rPr>
          <w:rFonts w:eastAsia="Times New Roman" w:cstheme="minorHAnsi"/>
          <w:noProof w:val="0"/>
          <w:color w:val="334152"/>
          <w:lang w:eastAsia="pt-BR"/>
        </w:rPr>
        <w:t>do Balanço Consolidado</w:t>
      </w:r>
      <w:r w:rsidR="00373043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746D4C" w:rsidRPr="00746D4C" w:rsidRDefault="00746D4C" w:rsidP="00746D4C">
      <w:pPr>
        <w:ind w:left="709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CF0B67" w:rsidRPr="00746D4C" w:rsidRDefault="00746D4C" w:rsidP="00746D4C">
      <w:pPr>
        <w:pStyle w:val="PargrafodaLista"/>
        <w:numPr>
          <w:ilvl w:val="0"/>
          <w:numId w:val="10"/>
        </w:numPr>
        <w:ind w:left="851"/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b/>
          <w:bCs/>
          <w:noProof w:val="0"/>
          <w:color w:val="334152"/>
          <w:lang w:eastAsia="pt-BR"/>
        </w:rPr>
        <w:t>Gabinete do Prefeito</w:t>
      </w:r>
      <w:r w:rsidRPr="00746D4C">
        <w:rPr>
          <w:rFonts w:eastAsia="Times New Roman" w:cstheme="minorHAnsi"/>
          <w:b/>
          <w:bCs/>
          <w:noProof w:val="0"/>
          <w:color w:val="334152"/>
          <w:lang w:eastAsia="pt-BR"/>
        </w:rPr>
        <w:t>:</w:t>
      </w:r>
    </w:p>
    <w:p w:rsidR="00746D4C" w:rsidRDefault="00746D4C" w:rsidP="00746D4C">
      <w:pPr>
        <w:pStyle w:val="PargrafodaLista"/>
        <w:ind w:left="2061"/>
        <w:jc w:val="both"/>
        <w:rPr>
          <w:rFonts w:eastAsia="Times New Roman" w:cstheme="minorHAnsi"/>
          <w:b/>
          <w:bCs/>
          <w:noProof w:val="0"/>
          <w:color w:val="334152"/>
          <w:lang w:eastAsia="pt-BR"/>
        </w:rPr>
      </w:pPr>
    </w:p>
    <w:p w:rsidR="000F2424" w:rsidRDefault="000F2424" w:rsidP="00746D4C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Assinar e encaminhar os projetos de Leis ao Legislativo Municipal;</w:t>
      </w:r>
    </w:p>
    <w:p w:rsidR="00746D4C" w:rsidRDefault="00EF1908" w:rsidP="00746D4C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Sancionar e </w:t>
      </w:r>
      <w:r w:rsidR="00101D37">
        <w:rPr>
          <w:rFonts w:eastAsia="Times New Roman" w:cstheme="minorHAnsi"/>
          <w:noProof w:val="0"/>
          <w:color w:val="334152"/>
          <w:lang w:eastAsia="pt-BR"/>
        </w:rPr>
        <w:t xml:space="preserve">efetuar a </w:t>
      </w:r>
      <w:r w:rsidR="000F2424">
        <w:rPr>
          <w:rFonts w:eastAsia="Times New Roman" w:cstheme="minorHAnsi"/>
          <w:noProof w:val="0"/>
          <w:color w:val="334152"/>
          <w:lang w:eastAsia="pt-BR"/>
        </w:rPr>
        <w:t>publicação</w:t>
      </w:r>
      <w:r>
        <w:rPr>
          <w:rFonts w:eastAsia="Times New Roman" w:cstheme="minorHAnsi"/>
          <w:noProof w:val="0"/>
          <w:color w:val="334152"/>
          <w:lang w:eastAsia="pt-BR"/>
        </w:rPr>
        <w:t xml:space="preserve"> as Leis para alterações orçamentárias e encaminhar a</w:t>
      </w:r>
      <w:r w:rsidR="008666EE">
        <w:rPr>
          <w:rFonts w:eastAsia="Times New Roman" w:cstheme="minorHAnsi"/>
          <w:noProof w:val="0"/>
          <w:color w:val="334152"/>
          <w:lang w:eastAsia="pt-BR"/>
        </w:rPr>
        <w:t xml:space="preserve"> Secretaria de P</w:t>
      </w:r>
      <w:r>
        <w:rPr>
          <w:rFonts w:eastAsia="Times New Roman" w:cstheme="minorHAnsi"/>
          <w:noProof w:val="0"/>
          <w:color w:val="334152"/>
          <w:lang w:eastAsia="pt-BR"/>
        </w:rPr>
        <w:t>lanejamento;</w:t>
      </w:r>
    </w:p>
    <w:p w:rsidR="00EF1908" w:rsidRPr="00746D4C" w:rsidRDefault="000F2424" w:rsidP="00746D4C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 xml:space="preserve">Assinar os Decretos </w:t>
      </w:r>
      <w:r w:rsidR="00101D37">
        <w:rPr>
          <w:rFonts w:eastAsia="Times New Roman" w:cstheme="minorHAnsi"/>
          <w:noProof w:val="0"/>
          <w:color w:val="334152"/>
          <w:lang w:eastAsia="pt-BR"/>
        </w:rPr>
        <w:t xml:space="preserve">para alterações orçamentárias, </w:t>
      </w:r>
      <w:r w:rsidR="008666EE">
        <w:rPr>
          <w:rFonts w:eastAsia="Times New Roman" w:cstheme="minorHAnsi"/>
          <w:noProof w:val="0"/>
          <w:color w:val="334152"/>
          <w:lang w:eastAsia="pt-BR"/>
        </w:rPr>
        <w:t>efetuar a</w:t>
      </w:r>
      <w:r w:rsidR="00101D37">
        <w:rPr>
          <w:rFonts w:eastAsia="Times New Roman" w:cstheme="minorHAnsi"/>
          <w:noProof w:val="0"/>
          <w:color w:val="334152"/>
          <w:lang w:eastAsia="pt-BR"/>
        </w:rPr>
        <w:t xml:space="preserve"> publicação e </w:t>
      </w:r>
      <w:r w:rsidR="008666EE">
        <w:rPr>
          <w:rFonts w:eastAsia="Times New Roman" w:cstheme="minorHAnsi"/>
          <w:noProof w:val="0"/>
          <w:color w:val="334152"/>
          <w:lang w:eastAsia="pt-BR"/>
        </w:rPr>
        <w:t xml:space="preserve">encaminhar </w:t>
      </w:r>
      <w:r w:rsidR="00D53700">
        <w:rPr>
          <w:rFonts w:eastAsia="Times New Roman" w:cstheme="minorHAnsi"/>
          <w:noProof w:val="0"/>
          <w:color w:val="334152"/>
          <w:lang w:eastAsia="pt-BR"/>
        </w:rPr>
        <w:t>a Secretaria</w:t>
      </w:r>
      <w:r w:rsidR="008666EE">
        <w:rPr>
          <w:rFonts w:eastAsia="Times New Roman" w:cstheme="minorHAnsi"/>
          <w:noProof w:val="0"/>
          <w:color w:val="334152"/>
          <w:lang w:eastAsia="pt-BR"/>
        </w:rPr>
        <w:t xml:space="preserve"> de Planejamento para processamento dos decretos;</w:t>
      </w:r>
    </w:p>
    <w:p w:rsidR="00CF0B67" w:rsidRPr="00CF0B67" w:rsidRDefault="00CF0B67" w:rsidP="00CF0B67">
      <w:pPr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D53700" w:rsidRPr="00551164" w:rsidRDefault="00D53700" w:rsidP="00D53700">
      <w:pPr>
        <w:shd w:val="clear" w:color="auto" w:fill="FFFFFF"/>
        <w:spacing w:after="225" w:line="240" w:lineRule="auto"/>
        <w:jc w:val="center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V</w:t>
      </w:r>
      <w:r w:rsidRPr="00551164">
        <w:rPr>
          <w:rFonts w:eastAsia="Times New Roman" w:cstheme="minorHAnsi"/>
          <w:noProof w:val="0"/>
          <w:color w:val="334152"/>
          <w:lang w:eastAsia="pt-BR"/>
        </w:rPr>
        <w:t xml:space="preserve"> – </w:t>
      </w:r>
      <w:r>
        <w:rPr>
          <w:rFonts w:eastAsia="Times New Roman" w:cstheme="minorHAnsi"/>
          <w:noProof w:val="0"/>
          <w:color w:val="334152"/>
          <w:lang w:eastAsia="pt-BR"/>
        </w:rPr>
        <w:t>Considerações Finais</w:t>
      </w:r>
    </w:p>
    <w:p w:rsidR="000C4F7E" w:rsidRDefault="00D53700" w:rsidP="00D53700">
      <w:pPr>
        <w:pStyle w:val="PargrafodaLista"/>
        <w:ind w:left="0"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</w:t>
      </w:r>
      <w:r w:rsidR="009826A0">
        <w:rPr>
          <w:rFonts w:eastAsia="Times New Roman" w:cstheme="minorHAnsi"/>
          <w:noProof w:val="0"/>
          <w:color w:val="334152"/>
          <w:lang w:eastAsia="pt-BR"/>
        </w:rPr>
        <w:t>7</w:t>
      </w: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º </w:t>
      </w:r>
      <w:r w:rsidR="009826A0">
        <w:rPr>
          <w:rFonts w:eastAsia="Times New Roman" w:cstheme="minorHAnsi"/>
          <w:noProof w:val="0"/>
          <w:color w:val="334152"/>
          <w:lang w:eastAsia="pt-BR"/>
        </w:rPr>
        <w:t xml:space="preserve">Além dos procedimentos mencionados, cabe a todos os servidores, assumirem a responsabilidade de quaisquer outras obrigações específicas </w:t>
      </w:r>
      <w:r w:rsidR="00094D38">
        <w:rPr>
          <w:rFonts w:eastAsia="Times New Roman" w:cstheme="minorHAnsi"/>
          <w:noProof w:val="0"/>
          <w:color w:val="334152"/>
          <w:lang w:eastAsia="pt-BR"/>
        </w:rPr>
        <w:t>que se fizerem necessário, para a agilidade, bom desempenho e cumprimento da legislação.</w:t>
      </w:r>
    </w:p>
    <w:p w:rsidR="00094D38" w:rsidRDefault="00094D38" w:rsidP="00D53700">
      <w:pPr>
        <w:pStyle w:val="PargrafodaLista"/>
        <w:ind w:left="0"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884FE6" w:rsidRPr="00551164" w:rsidRDefault="00884FE6" w:rsidP="00884FE6">
      <w:pPr>
        <w:shd w:val="clear" w:color="auto" w:fill="FFFFFF"/>
        <w:spacing w:after="225" w:line="240" w:lineRule="auto"/>
        <w:jc w:val="center"/>
        <w:rPr>
          <w:rFonts w:eastAsia="Times New Roman" w:cstheme="minorHAnsi"/>
          <w:noProof w:val="0"/>
          <w:color w:val="334152"/>
          <w:lang w:eastAsia="pt-BR"/>
        </w:rPr>
      </w:pPr>
      <w:r>
        <w:rPr>
          <w:rFonts w:eastAsia="Times New Roman" w:cstheme="minorHAnsi"/>
          <w:noProof w:val="0"/>
          <w:color w:val="334152"/>
          <w:lang w:eastAsia="pt-BR"/>
        </w:rPr>
        <w:t>V</w:t>
      </w:r>
      <w:r>
        <w:rPr>
          <w:rFonts w:eastAsia="Times New Roman" w:cstheme="minorHAnsi"/>
          <w:noProof w:val="0"/>
          <w:color w:val="334152"/>
          <w:lang w:eastAsia="pt-BR"/>
        </w:rPr>
        <w:t>I</w:t>
      </w:r>
      <w:r w:rsidRPr="00551164">
        <w:rPr>
          <w:rFonts w:eastAsia="Times New Roman" w:cstheme="minorHAnsi"/>
          <w:noProof w:val="0"/>
          <w:color w:val="334152"/>
          <w:lang w:eastAsia="pt-BR"/>
        </w:rPr>
        <w:t xml:space="preserve"> – </w:t>
      </w:r>
      <w:r w:rsidR="00265B9C">
        <w:rPr>
          <w:rFonts w:eastAsia="Times New Roman" w:cstheme="minorHAnsi"/>
          <w:noProof w:val="0"/>
          <w:color w:val="334152"/>
          <w:lang w:eastAsia="pt-BR"/>
        </w:rPr>
        <w:t>Referências</w:t>
      </w:r>
    </w:p>
    <w:p w:rsidR="00094D38" w:rsidRDefault="00884FE6" w:rsidP="00884FE6">
      <w:pPr>
        <w:pStyle w:val="PargrafodaLista"/>
        <w:ind w:left="0"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Art. </w:t>
      </w:r>
      <w:r w:rsidR="00265B9C">
        <w:rPr>
          <w:rFonts w:eastAsia="Times New Roman" w:cstheme="minorHAnsi"/>
          <w:noProof w:val="0"/>
          <w:color w:val="334152"/>
          <w:lang w:eastAsia="pt-BR"/>
        </w:rPr>
        <w:t>8</w:t>
      </w:r>
      <w:r w:rsidRPr="00D85ACF">
        <w:rPr>
          <w:rFonts w:eastAsia="Times New Roman" w:cstheme="minorHAnsi"/>
          <w:noProof w:val="0"/>
          <w:color w:val="334152"/>
          <w:lang w:eastAsia="pt-BR"/>
        </w:rPr>
        <w:t xml:space="preserve">º </w:t>
      </w:r>
      <w:r w:rsidR="00265B9C">
        <w:rPr>
          <w:rFonts w:eastAsia="Times New Roman" w:cstheme="minorHAnsi"/>
          <w:noProof w:val="0"/>
          <w:color w:val="334152"/>
          <w:lang w:eastAsia="pt-BR"/>
        </w:rPr>
        <w:t xml:space="preserve">Esta Instrução Normativa, além das normativas deste município, levou em consideração o que está previsto, </w:t>
      </w:r>
      <w:r w:rsidR="001D403F">
        <w:rPr>
          <w:rFonts w:eastAsia="Times New Roman" w:cstheme="minorHAnsi"/>
          <w:noProof w:val="0"/>
          <w:color w:val="334152"/>
          <w:lang w:eastAsia="pt-BR"/>
        </w:rPr>
        <w:t>na seguinte legislação:</w:t>
      </w:r>
    </w:p>
    <w:p w:rsidR="001D403F" w:rsidRDefault="001D403F" w:rsidP="00884FE6">
      <w:pPr>
        <w:pStyle w:val="PargrafodaLista"/>
        <w:ind w:left="0" w:firstLine="1701"/>
        <w:jc w:val="both"/>
        <w:rPr>
          <w:rFonts w:eastAsia="Times New Roman" w:cstheme="minorHAnsi"/>
          <w:noProof w:val="0"/>
          <w:color w:val="334152"/>
          <w:lang w:eastAsia="pt-BR"/>
        </w:rPr>
      </w:pPr>
    </w:p>
    <w:p w:rsidR="001D403F" w:rsidRDefault="001D403F" w:rsidP="001D403F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1D403F">
        <w:rPr>
          <w:rFonts w:eastAsia="Times New Roman" w:cstheme="minorHAnsi"/>
          <w:noProof w:val="0"/>
          <w:color w:val="334152"/>
          <w:lang w:eastAsia="pt-BR"/>
        </w:rPr>
        <w:t xml:space="preserve">CONSTITUIÇÃO (1988), Constituição da República Federativa do Brasil. Brasília, DF: Senado Federal, 2007/2008. </w:t>
      </w:r>
    </w:p>
    <w:p w:rsidR="00F707BE" w:rsidRDefault="001D403F" w:rsidP="00F707BE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7F4527">
        <w:rPr>
          <w:rFonts w:eastAsia="Times New Roman" w:cstheme="minorHAnsi"/>
          <w:noProof w:val="0"/>
          <w:color w:val="334152"/>
          <w:lang w:eastAsia="pt-BR"/>
        </w:rPr>
        <w:t>A Lei 4.320 comentada. 30 Edição</w:t>
      </w:r>
      <w:r w:rsidR="007F4527" w:rsidRPr="007F4527">
        <w:rPr>
          <w:rFonts w:eastAsia="Times New Roman" w:cstheme="minorHAnsi"/>
          <w:noProof w:val="0"/>
          <w:color w:val="334152"/>
          <w:lang w:eastAsia="pt-BR"/>
        </w:rPr>
        <w:t xml:space="preserve">, </w:t>
      </w:r>
      <w:r w:rsidR="007F4527" w:rsidRPr="007F4527">
        <w:rPr>
          <w:rFonts w:eastAsia="Times New Roman" w:cstheme="minorHAnsi"/>
          <w:noProof w:val="0"/>
          <w:color w:val="334152"/>
          <w:lang w:eastAsia="pt-BR"/>
        </w:rPr>
        <w:t>MACHADO TEIXEIRA JR, JOSÉ</w:t>
      </w:r>
      <w:r w:rsidR="00F707BE">
        <w:rPr>
          <w:rFonts w:eastAsia="Times New Roman" w:cstheme="minorHAnsi"/>
          <w:noProof w:val="0"/>
          <w:color w:val="334152"/>
          <w:lang w:eastAsia="pt-BR"/>
        </w:rPr>
        <w:t>;</w:t>
      </w:r>
    </w:p>
    <w:p w:rsidR="007F4527" w:rsidRPr="007F4527" w:rsidRDefault="007F4527" w:rsidP="00F707BE">
      <w:pPr>
        <w:pStyle w:val="PargrafodaLista"/>
        <w:numPr>
          <w:ilvl w:val="0"/>
          <w:numId w:val="11"/>
        </w:numPr>
        <w:jc w:val="both"/>
        <w:rPr>
          <w:rFonts w:eastAsia="Times New Roman" w:cstheme="minorHAnsi"/>
          <w:noProof w:val="0"/>
          <w:color w:val="334152"/>
          <w:lang w:eastAsia="pt-BR"/>
        </w:rPr>
      </w:pPr>
      <w:r w:rsidRPr="007F4527">
        <w:rPr>
          <w:rFonts w:eastAsia="Times New Roman" w:cstheme="minorHAnsi"/>
          <w:noProof w:val="0"/>
          <w:color w:val="334152"/>
          <w:lang w:eastAsia="pt-BR"/>
        </w:rPr>
        <w:t xml:space="preserve">PIRES DIAS, Omar, Orçamento Público, Porto Velho, 2017. </w:t>
      </w:r>
    </w:p>
    <w:p w:rsidR="00CA3AC5" w:rsidRPr="00D85ACF" w:rsidRDefault="007F4527" w:rsidP="00F707BE">
      <w:pPr>
        <w:ind w:hanging="360"/>
        <w:jc w:val="both"/>
        <w:rPr>
          <w:rFonts w:cstheme="minorHAnsi"/>
        </w:rPr>
      </w:pPr>
      <w:r w:rsidRPr="007F4527">
        <w:rPr>
          <w:rFonts w:eastAsia="Times New Roman" w:cstheme="minorHAnsi"/>
          <w:noProof w:val="0"/>
          <w:color w:val="334152"/>
          <w:lang w:eastAsia="pt-BR"/>
        </w:rPr>
        <w:t xml:space="preserve"> </w:t>
      </w:r>
    </w:p>
    <w:p w:rsidR="002A32D1" w:rsidRPr="00D85ACF" w:rsidRDefault="00EE1EC5" w:rsidP="00EE1EC5">
      <w:pPr>
        <w:spacing w:after="0"/>
        <w:ind w:right="441"/>
        <w:jc w:val="right"/>
        <w:rPr>
          <w:rFonts w:cstheme="minorHAnsi"/>
        </w:rPr>
      </w:pPr>
      <w:r w:rsidRPr="00D85ACF">
        <w:rPr>
          <w:rFonts w:cstheme="minorHAnsi"/>
        </w:rPr>
        <w:t>Cacoal, 10 de setembro de 2019.</w:t>
      </w:r>
    </w:p>
    <w:p w:rsidR="00EE1EC5" w:rsidRPr="00D85ACF" w:rsidRDefault="00EE1EC5" w:rsidP="000D40D6">
      <w:pPr>
        <w:jc w:val="both"/>
        <w:rPr>
          <w:rFonts w:cstheme="minorHAnsi"/>
        </w:rPr>
      </w:pPr>
    </w:p>
    <w:p w:rsidR="00EE1EC5" w:rsidRPr="00D85ACF" w:rsidRDefault="00EE1EC5" w:rsidP="000D40D6">
      <w:pPr>
        <w:jc w:val="both"/>
        <w:rPr>
          <w:rFonts w:cstheme="minorHAnsi"/>
        </w:rPr>
      </w:pPr>
    </w:p>
    <w:p w:rsidR="00EE1EC5" w:rsidRPr="00D85ACF" w:rsidRDefault="00EE1EC5" w:rsidP="00EE1EC5">
      <w:pPr>
        <w:spacing w:after="0"/>
        <w:ind w:right="441"/>
        <w:jc w:val="center"/>
        <w:rPr>
          <w:rFonts w:cstheme="minorHAnsi"/>
        </w:rPr>
      </w:pPr>
      <w:r w:rsidRPr="00D85ACF">
        <w:rPr>
          <w:rFonts w:cstheme="minorHAnsi"/>
        </w:rPr>
        <w:t>Controle Interno</w:t>
      </w:r>
    </w:p>
    <w:p w:rsidR="00EE1EC5" w:rsidRPr="00D85ACF" w:rsidRDefault="00EE1EC5" w:rsidP="00EE1EC5">
      <w:pPr>
        <w:spacing w:after="0"/>
        <w:ind w:right="441"/>
        <w:jc w:val="center"/>
        <w:rPr>
          <w:rFonts w:cstheme="minorHAnsi"/>
        </w:rPr>
      </w:pPr>
    </w:p>
    <w:p w:rsidR="00EE1EC5" w:rsidRPr="00D85ACF" w:rsidRDefault="00EE1EC5" w:rsidP="00EE1EC5">
      <w:pPr>
        <w:spacing w:after="0"/>
        <w:ind w:right="441"/>
        <w:jc w:val="center"/>
        <w:rPr>
          <w:rFonts w:cstheme="minorHAnsi"/>
        </w:rPr>
      </w:pPr>
      <w:r w:rsidRPr="00D85ACF">
        <w:rPr>
          <w:rFonts w:cstheme="minorHAnsi"/>
        </w:rPr>
        <w:t>Prefeito Municipal</w:t>
      </w:r>
    </w:p>
    <w:p w:rsidR="00EE1EC5" w:rsidRPr="00D85ACF" w:rsidRDefault="00EE1EC5" w:rsidP="00EE1EC5">
      <w:pPr>
        <w:spacing w:after="0"/>
        <w:ind w:right="441"/>
        <w:jc w:val="center"/>
        <w:rPr>
          <w:rFonts w:cstheme="minorHAnsi"/>
        </w:rPr>
      </w:pPr>
    </w:p>
    <w:p w:rsidR="00EE1EC5" w:rsidRPr="00D85ACF" w:rsidRDefault="00EE1EC5" w:rsidP="00EE1EC5">
      <w:pPr>
        <w:spacing w:after="0"/>
        <w:ind w:right="441"/>
        <w:jc w:val="center"/>
        <w:rPr>
          <w:rFonts w:cstheme="minorHAnsi"/>
        </w:rPr>
      </w:pPr>
      <w:r w:rsidRPr="00D85ACF">
        <w:rPr>
          <w:rFonts w:cstheme="minorHAnsi"/>
        </w:rPr>
        <w:t>Secretários e Diretores das Autarquias.</w:t>
      </w:r>
    </w:p>
    <w:p w:rsidR="00EE1EC5" w:rsidRPr="00D85ACF" w:rsidRDefault="00EE1EC5" w:rsidP="00EE1EC5">
      <w:pPr>
        <w:spacing w:after="0"/>
        <w:ind w:right="441"/>
        <w:jc w:val="center"/>
        <w:rPr>
          <w:rFonts w:cstheme="minorHAnsi"/>
        </w:rPr>
      </w:pPr>
    </w:p>
    <w:p w:rsidR="00EE1EC5" w:rsidRPr="00D85ACF" w:rsidRDefault="009414B1" w:rsidP="00EE1EC5">
      <w:pPr>
        <w:spacing w:after="0"/>
        <w:ind w:right="441"/>
        <w:jc w:val="center"/>
        <w:rPr>
          <w:rFonts w:cstheme="minorHAnsi"/>
        </w:rPr>
      </w:pPr>
      <w:r>
        <w:rPr>
          <w:rFonts w:cstheme="minorHAnsi"/>
        </w:rPr>
        <w:t>Assessoria Jurídica</w:t>
      </w:r>
      <w:r w:rsidR="00EE1EC5" w:rsidRPr="00D85ACF">
        <w:rPr>
          <w:rFonts w:cstheme="minorHAnsi"/>
        </w:rPr>
        <w:t>.</w:t>
      </w:r>
    </w:p>
    <w:p w:rsidR="00EE1EC5" w:rsidRDefault="00EE1EC5" w:rsidP="000D40D6">
      <w:pPr>
        <w:jc w:val="both"/>
        <w:rPr>
          <w:rFonts w:cstheme="minorHAnsi"/>
        </w:rPr>
      </w:pPr>
    </w:p>
    <w:p w:rsidR="00EF6439" w:rsidRDefault="00EF6439" w:rsidP="000D40D6">
      <w:pPr>
        <w:jc w:val="both"/>
        <w:rPr>
          <w:rFonts w:cstheme="minorHAnsi"/>
        </w:rPr>
      </w:pPr>
    </w:p>
    <w:p w:rsidR="0001086C" w:rsidRDefault="0001086C" w:rsidP="000D40D6">
      <w:pPr>
        <w:jc w:val="both"/>
        <w:rPr>
          <w:rFonts w:cstheme="minorHAnsi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898"/>
        <w:gridCol w:w="1563"/>
        <w:gridCol w:w="3402"/>
        <w:gridCol w:w="1701"/>
      </w:tblGrid>
      <w:tr w:rsidR="0001086C" w:rsidRPr="004337BD" w:rsidTr="001840E4">
        <w:trPr>
          <w:jc w:val="center"/>
        </w:trPr>
        <w:tc>
          <w:tcPr>
            <w:tcW w:w="9776" w:type="dxa"/>
            <w:gridSpan w:val="5"/>
          </w:tcPr>
          <w:p w:rsidR="0001086C" w:rsidRPr="005D5416" w:rsidRDefault="0001086C" w:rsidP="000122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41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ANEXO I</w:t>
            </w:r>
          </w:p>
        </w:tc>
      </w:tr>
      <w:tr w:rsidR="0001086C" w:rsidRPr="004337BD" w:rsidTr="001840E4">
        <w:trPr>
          <w:jc w:val="center"/>
        </w:trPr>
        <w:tc>
          <w:tcPr>
            <w:tcW w:w="1212" w:type="dxa"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Amparo</w:t>
            </w:r>
          </w:p>
        </w:tc>
        <w:tc>
          <w:tcPr>
            <w:tcW w:w="1898" w:type="dxa"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>Tipo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Decreto</w:t>
            </w:r>
          </w:p>
        </w:tc>
        <w:tc>
          <w:tcPr>
            <w:tcW w:w="1563" w:type="dxa"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Fonte </w:t>
            </w:r>
          </w:p>
        </w:tc>
        <w:tc>
          <w:tcPr>
            <w:tcW w:w="3402" w:type="dxa"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>Observação</w:t>
            </w:r>
          </w:p>
        </w:tc>
        <w:tc>
          <w:tcPr>
            <w:tcW w:w="1701" w:type="dxa"/>
          </w:tcPr>
          <w:p w:rsidR="0001086C" w:rsidRPr="004337BD" w:rsidRDefault="0001086C" w:rsidP="0001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>Tipo de Lei</w:t>
            </w:r>
          </w:p>
        </w:tc>
      </w:tr>
      <w:tr w:rsidR="0001086C" w:rsidRPr="004337BD" w:rsidTr="001840E4">
        <w:trPr>
          <w:jc w:val="center"/>
        </w:trPr>
        <w:tc>
          <w:tcPr>
            <w:tcW w:w="1212" w:type="dxa"/>
            <w:vMerge w:val="restart"/>
            <w:textDirection w:val="btLr"/>
            <w:vAlign w:val="center"/>
          </w:tcPr>
          <w:p w:rsidR="0001086C" w:rsidRPr="004337BD" w:rsidRDefault="0001086C" w:rsidP="00012282">
            <w:pPr>
              <w:ind w:left="113" w:right="113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</w:t>
            </w:r>
            <w:r w:rsidRPr="004337BD">
              <w:rPr>
                <w:rFonts w:ascii="Times New Roman" w:hAnsi="Times New Roman" w:cs="Times New Roman"/>
                <w:b/>
                <w:sz w:val="52"/>
                <w:szCs w:val="52"/>
              </w:rPr>
              <w:t>Lei 4320/64</w:t>
            </w:r>
          </w:p>
        </w:tc>
        <w:tc>
          <w:tcPr>
            <w:tcW w:w="1898" w:type="dxa"/>
            <w:vMerge w:val="restart"/>
            <w:textDirection w:val="btLr"/>
          </w:tcPr>
          <w:p w:rsidR="0001086C" w:rsidRPr="004337BD" w:rsidRDefault="0001086C" w:rsidP="00012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Créditos </w:t>
            </w:r>
          </w:p>
          <w:p w:rsidR="0001086C" w:rsidRPr="004337BD" w:rsidRDefault="0001086C" w:rsidP="00012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>Adicionais</w:t>
            </w:r>
          </w:p>
          <w:p w:rsidR="0001086C" w:rsidRPr="004337BD" w:rsidRDefault="0001086C" w:rsidP="00012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Suplementares</w:t>
            </w:r>
          </w:p>
        </w:tc>
        <w:tc>
          <w:tcPr>
            <w:tcW w:w="1563" w:type="dxa"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Por Anulação</w:t>
            </w:r>
          </w:p>
        </w:tc>
        <w:tc>
          <w:tcPr>
            <w:tcW w:w="3402" w:type="dxa"/>
          </w:tcPr>
          <w:p w:rsidR="0001086C" w:rsidRPr="003068B7" w:rsidRDefault="0001086C" w:rsidP="00012282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3068B7">
              <w:rPr>
                <w:color w:val="auto"/>
                <w:sz w:val="18"/>
                <w:szCs w:val="18"/>
              </w:rPr>
              <w:t>Créditos que poderão ser lançados em despesas suplementares prevista no orçamento, até o limite da LOA ou lei específica, suplementando e anulando dentro d</w:t>
            </w:r>
            <w:r w:rsidRPr="003068B7">
              <w:rPr>
                <w:b/>
                <w:color w:val="auto"/>
                <w:sz w:val="18"/>
                <w:szCs w:val="18"/>
              </w:rPr>
              <w:t>a mesma atividade, projeto ou operação especial,</w:t>
            </w:r>
            <w:r w:rsidRPr="003068B7">
              <w:rPr>
                <w:color w:val="auto"/>
                <w:sz w:val="18"/>
                <w:szCs w:val="18"/>
              </w:rPr>
              <w:t xml:space="preserve"> </w:t>
            </w:r>
            <w:r w:rsidRPr="003068B7">
              <w:rPr>
                <w:b/>
                <w:color w:val="auto"/>
                <w:sz w:val="18"/>
                <w:szCs w:val="18"/>
              </w:rPr>
              <w:t>de despesas da mesma categoria, ou seja, anular e suplementar despesa corrente para corrente ou de capital para de capital.</w:t>
            </w:r>
          </w:p>
        </w:tc>
        <w:tc>
          <w:tcPr>
            <w:tcW w:w="1701" w:type="dxa"/>
          </w:tcPr>
          <w:p w:rsidR="0001086C" w:rsidRPr="009C7D76" w:rsidRDefault="0001086C" w:rsidP="001840E4">
            <w:pPr>
              <w:pStyle w:val="Default"/>
              <w:rPr>
                <w:b/>
                <w:color w:val="FF0000"/>
              </w:rPr>
            </w:pPr>
            <w:r w:rsidRPr="002F6CC0">
              <w:rPr>
                <w:b/>
                <w:color w:val="auto"/>
              </w:rPr>
              <w:t>Orçamentária</w:t>
            </w:r>
            <w:r w:rsidR="001840E4">
              <w:rPr>
                <w:b/>
                <w:color w:val="auto"/>
              </w:rPr>
              <w:t xml:space="preserve"> ou </w:t>
            </w:r>
            <w:r w:rsidRPr="002F6CC0">
              <w:rPr>
                <w:b/>
                <w:color w:val="auto"/>
              </w:rPr>
              <w:t>Específica</w:t>
            </w:r>
          </w:p>
        </w:tc>
      </w:tr>
      <w:tr w:rsidR="0001086C" w:rsidRPr="004337BD" w:rsidTr="001840E4">
        <w:trPr>
          <w:jc w:val="center"/>
        </w:trPr>
        <w:tc>
          <w:tcPr>
            <w:tcW w:w="1212" w:type="dxa"/>
            <w:vMerge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1086C" w:rsidRPr="004337BD" w:rsidRDefault="0001086C" w:rsidP="00012282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Superávit Financeiro</w:t>
            </w:r>
          </w:p>
        </w:tc>
        <w:tc>
          <w:tcPr>
            <w:tcW w:w="3402" w:type="dxa"/>
          </w:tcPr>
          <w:p w:rsidR="0001086C" w:rsidRPr="003068B7" w:rsidRDefault="0001086C" w:rsidP="000122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que poderão ser lançados em despesas suplementares previstos no orçamento, até o limite do superávit financeiro do balanço patrimonial do exercício anterior.</w:t>
            </w:r>
          </w:p>
        </w:tc>
        <w:tc>
          <w:tcPr>
            <w:tcW w:w="1701" w:type="dxa"/>
          </w:tcPr>
          <w:p w:rsidR="0001086C" w:rsidRPr="001840E4" w:rsidRDefault="0001086C" w:rsidP="001840E4">
            <w:pPr>
              <w:pStyle w:val="Default"/>
            </w:pPr>
            <w:r w:rsidRPr="004337BD">
              <w:rPr>
                <w:b/>
              </w:rPr>
              <w:t>Orçamentária</w:t>
            </w:r>
            <w:r w:rsidR="001840E4">
              <w:rPr>
                <w:b/>
              </w:rPr>
              <w:t xml:space="preserve"> ou </w:t>
            </w:r>
            <w:r w:rsidRPr="001840E4">
              <w:rPr>
                <w:b/>
              </w:rPr>
              <w:t>Específica</w:t>
            </w:r>
          </w:p>
        </w:tc>
      </w:tr>
      <w:tr w:rsidR="00A04A0C" w:rsidRPr="004337BD" w:rsidTr="001840E4">
        <w:trPr>
          <w:jc w:val="center"/>
        </w:trPr>
        <w:tc>
          <w:tcPr>
            <w:tcW w:w="1212" w:type="dxa"/>
            <w:vMerge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Excesso de Arrecadação</w:t>
            </w:r>
          </w:p>
        </w:tc>
        <w:tc>
          <w:tcPr>
            <w:tcW w:w="3402" w:type="dxa"/>
          </w:tcPr>
          <w:p w:rsidR="00A04A0C" w:rsidRPr="003068B7" w:rsidRDefault="00A04A0C" w:rsidP="00A04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lançados em despesas suplementares previstos no orçamento, até o limite do cálculo do excesso de arrecadação.</w:t>
            </w:r>
          </w:p>
        </w:tc>
        <w:tc>
          <w:tcPr>
            <w:tcW w:w="1701" w:type="dxa"/>
          </w:tcPr>
          <w:p w:rsidR="00A04A0C" w:rsidRPr="001840E4" w:rsidRDefault="00A04A0C" w:rsidP="001840E4">
            <w:pPr>
              <w:pStyle w:val="Default"/>
            </w:pPr>
            <w:r w:rsidRPr="004337BD">
              <w:rPr>
                <w:b/>
              </w:rPr>
              <w:t>Orçamentária</w:t>
            </w:r>
            <w:r w:rsidR="001840E4">
              <w:rPr>
                <w:b/>
              </w:rPr>
              <w:t xml:space="preserve"> ou </w:t>
            </w:r>
            <w:r w:rsidRPr="001840E4">
              <w:rPr>
                <w:b/>
              </w:rPr>
              <w:t>Específica</w:t>
            </w:r>
          </w:p>
        </w:tc>
      </w:tr>
      <w:tr w:rsidR="00A04A0C" w:rsidRPr="004337BD" w:rsidTr="001840E4">
        <w:trPr>
          <w:jc w:val="center"/>
        </w:trPr>
        <w:tc>
          <w:tcPr>
            <w:tcW w:w="1212" w:type="dxa"/>
            <w:vMerge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Operação de Crédito</w:t>
            </w:r>
          </w:p>
        </w:tc>
        <w:tc>
          <w:tcPr>
            <w:tcW w:w="3402" w:type="dxa"/>
          </w:tcPr>
          <w:p w:rsidR="00A04A0C" w:rsidRPr="003068B7" w:rsidRDefault="00A04A0C" w:rsidP="00A04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lançados em despesas suplementares previstos no orçamento, através de financiamentos.</w:t>
            </w:r>
          </w:p>
        </w:tc>
        <w:tc>
          <w:tcPr>
            <w:tcW w:w="1701" w:type="dxa"/>
          </w:tcPr>
          <w:p w:rsidR="00A04A0C" w:rsidRPr="001840E4" w:rsidRDefault="00A04A0C" w:rsidP="0018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4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A04A0C" w:rsidRPr="004337BD" w:rsidTr="001840E4">
        <w:trPr>
          <w:jc w:val="center"/>
        </w:trPr>
        <w:tc>
          <w:tcPr>
            <w:tcW w:w="1212" w:type="dxa"/>
            <w:vMerge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04A0C" w:rsidRPr="004337BD" w:rsidRDefault="00A04A0C" w:rsidP="00A04A0C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Recursos Vinculados (receita)</w:t>
            </w:r>
          </w:p>
        </w:tc>
        <w:tc>
          <w:tcPr>
            <w:tcW w:w="3402" w:type="dxa"/>
          </w:tcPr>
          <w:p w:rsidR="00A04A0C" w:rsidRPr="003068B7" w:rsidRDefault="00A04A0C" w:rsidP="00A04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 xml:space="preserve">Créditos que poderão ser lançados em despesas suplementares previstos no orçamento, de convênio específicos, sem a necessidade do cálculo do excesso de arrecadação. </w:t>
            </w:r>
          </w:p>
        </w:tc>
        <w:tc>
          <w:tcPr>
            <w:tcW w:w="1701" w:type="dxa"/>
          </w:tcPr>
          <w:p w:rsidR="00A04A0C" w:rsidRPr="001840E4" w:rsidRDefault="00A04A0C" w:rsidP="001840E4">
            <w:pPr>
              <w:rPr>
                <w:rFonts w:ascii="Times New Roman" w:hAnsi="Times New Roman" w:cs="Times New Roman"/>
              </w:rPr>
            </w:pPr>
            <w:r w:rsidRPr="001840E4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 w:val="restart"/>
            <w:textDirection w:val="btLr"/>
          </w:tcPr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Créditos </w:t>
            </w:r>
          </w:p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>Adicionais</w:t>
            </w:r>
          </w:p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Especiais</w:t>
            </w: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Por Anulação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 lançado em despesa especial, não prevista no orçamento, por anulação de despesa.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extDirection w:val="btLr"/>
          </w:tcPr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Superávit Financeiro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lançados em despesa especial, não previstos no orçamento, até o limite do superávit financeiro do balanço patrimonial do exercício anterior.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Operação de Crédito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lançados em despesa especial, não previstos no orçamento, através de financiamentos.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Excesso de Arrecadação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lançados em despesa especial, não prevista no orçamento, até o limite do cálculo do excesso de arrecadação.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Recursos Vinculados (receita)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sz w:val="18"/>
                <w:szCs w:val="18"/>
              </w:rPr>
              <w:t>Créditos que poderão ser lançados em despesas especiais, não previstos no orçamento, de convênio específicos, sem a necessidade do cálculo do excesso de arrecadação. (Não utilizar para receitas continuadas, que deverá ser de excesso de arrecadação)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trHeight w:val="779"/>
          <w:jc w:val="center"/>
        </w:trPr>
        <w:tc>
          <w:tcPr>
            <w:tcW w:w="1212" w:type="dxa"/>
            <w:vMerge w:val="restart"/>
            <w:textDirection w:val="btLr"/>
          </w:tcPr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37BD">
              <w:rPr>
                <w:rFonts w:ascii="Times New Roman" w:hAnsi="Times New Roman" w:cs="Times New Roman"/>
                <w:b/>
                <w:sz w:val="24"/>
                <w:szCs w:val="24"/>
              </w:rPr>
              <w:t>Reformulações</w:t>
            </w:r>
          </w:p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BD">
              <w:rPr>
                <w:rFonts w:ascii="Times New Roman" w:hAnsi="Times New Roman" w:cs="Times New Roman"/>
                <w:b/>
                <w:sz w:val="24"/>
                <w:szCs w:val="24"/>
              </w:rPr>
              <w:t>Administrativas</w:t>
            </w:r>
          </w:p>
          <w:p w:rsidR="008E12A4" w:rsidRPr="004337BD" w:rsidRDefault="008E12A4" w:rsidP="008E12A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37BD">
              <w:rPr>
                <w:rFonts w:ascii="Times New Roman" w:hAnsi="Times New Roman" w:cs="Times New Roman"/>
                <w:b/>
                <w:sz w:val="24"/>
                <w:szCs w:val="24"/>
              </w:rPr>
              <w:t>(Art. 167, VI, da CF/88)</w:t>
            </w:r>
          </w:p>
        </w:tc>
        <w:tc>
          <w:tcPr>
            <w:tcW w:w="1898" w:type="dxa"/>
          </w:tcPr>
          <w:p w:rsidR="008E12A4" w:rsidRPr="006924DD" w:rsidRDefault="008E12A4" w:rsidP="008E1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DD">
              <w:rPr>
                <w:rFonts w:ascii="Times New Roman" w:hAnsi="Times New Roman" w:cs="Times New Roman"/>
                <w:b/>
                <w:sz w:val="24"/>
                <w:szCs w:val="24"/>
              </w:rPr>
              <w:t>Transferência</w:t>
            </w: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Anulação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416">
              <w:rPr>
                <w:rFonts w:ascii="Times New Roman" w:hAnsi="Times New Roman" w:cs="Times New Roman"/>
                <w:bCs/>
                <w:sz w:val="16"/>
                <w:szCs w:val="16"/>
              </w:rPr>
              <w:t>Permite apenas despesa Suplementar, prevista no orçamento, d</w:t>
            </w:r>
            <w:r w:rsidRPr="005D5416">
              <w:rPr>
                <w:sz w:val="16"/>
                <w:szCs w:val="16"/>
              </w:rPr>
              <w:t xml:space="preserve">a </w:t>
            </w:r>
            <w:r w:rsidRPr="005D5416">
              <w:rPr>
                <w:b/>
                <w:sz w:val="16"/>
                <w:szCs w:val="16"/>
              </w:rPr>
              <w:t>mesma atividade, projeto ou operação especial</w:t>
            </w:r>
            <w:r w:rsidRPr="005D5416">
              <w:rPr>
                <w:sz w:val="16"/>
                <w:szCs w:val="16"/>
              </w:rPr>
              <w:t xml:space="preserve">, </w:t>
            </w:r>
            <w:r w:rsidRPr="005D54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da mesma unidade orçamentário, </w:t>
            </w:r>
            <w:r w:rsidRPr="005D5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 categoria diferente, ou seja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D5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entre despesas corrente e de capital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ou vice versa</w:t>
            </w:r>
            <w:r w:rsidRPr="005D54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597670">
        <w:trPr>
          <w:trHeight w:val="652"/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12A4" w:rsidRPr="006924DD" w:rsidRDefault="008E12A4" w:rsidP="008E1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DD">
              <w:rPr>
                <w:rFonts w:ascii="Times New Roman" w:hAnsi="Times New Roman" w:cs="Times New Roman"/>
                <w:b/>
                <w:sz w:val="24"/>
                <w:szCs w:val="24"/>
              </w:rPr>
              <w:t>Transposição</w:t>
            </w:r>
          </w:p>
        </w:tc>
        <w:tc>
          <w:tcPr>
            <w:tcW w:w="1563" w:type="dxa"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Anulação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Permite apenas despesa Suplementar, prevista no orçamento, da </w:t>
            </w:r>
            <w:r w:rsidRPr="0030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mesma unidade orçamentária</w:t>
            </w:r>
            <w:r w:rsidRPr="003068B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  <w:tr w:rsidR="008E12A4" w:rsidRPr="004337BD" w:rsidTr="001840E4">
        <w:trPr>
          <w:trHeight w:val="678"/>
          <w:jc w:val="center"/>
        </w:trPr>
        <w:tc>
          <w:tcPr>
            <w:tcW w:w="1212" w:type="dxa"/>
            <w:vMerge/>
          </w:tcPr>
          <w:p w:rsidR="008E12A4" w:rsidRPr="004337BD" w:rsidRDefault="008E12A4" w:rsidP="008E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E12A4" w:rsidRPr="006924DD" w:rsidRDefault="008E12A4" w:rsidP="008E1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DD">
              <w:rPr>
                <w:rFonts w:ascii="Times New Roman" w:hAnsi="Times New Roman" w:cs="Times New Roman"/>
                <w:b/>
                <w:sz w:val="24"/>
                <w:szCs w:val="24"/>
              </w:rPr>
              <w:t>Remanejamento</w:t>
            </w:r>
          </w:p>
        </w:tc>
        <w:tc>
          <w:tcPr>
            <w:tcW w:w="1563" w:type="dxa"/>
          </w:tcPr>
          <w:p w:rsidR="008E12A4" w:rsidRPr="004337BD" w:rsidRDefault="00621BE0" w:rsidP="008E12A4">
            <w:pPr>
              <w:rPr>
                <w:rFonts w:ascii="Times New Roman" w:hAnsi="Times New Roman" w:cs="Times New Roman"/>
                <w:b/>
              </w:rPr>
            </w:pPr>
            <w:r w:rsidRPr="004337BD">
              <w:rPr>
                <w:rFonts w:ascii="Times New Roman" w:hAnsi="Times New Roman" w:cs="Times New Roman"/>
                <w:b/>
              </w:rPr>
              <w:t>Anulação</w:t>
            </w:r>
          </w:p>
        </w:tc>
        <w:tc>
          <w:tcPr>
            <w:tcW w:w="3402" w:type="dxa"/>
          </w:tcPr>
          <w:p w:rsidR="008E12A4" w:rsidRPr="003068B7" w:rsidRDefault="008E12A4" w:rsidP="008E12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8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Permite apenas despesa Suplementar, prevista no orçamento, de </w:t>
            </w:r>
            <w:r w:rsidRPr="0030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diferentes unidades orçamentárias</w:t>
            </w:r>
            <w:r w:rsidRPr="003068B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E12A4" w:rsidRPr="00F02639" w:rsidRDefault="008E12A4" w:rsidP="008E12A4">
            <w:pPr>
              <w:rPr>
                <w:rFonts w:ascii="Times New Roman" w:hAnsi="Times New Roman" w:cs="Times New Roman"/>
              </w:rPr>
            </w:pPr>
            <w:r w:rsidRPr="00F02639">
              <w:rPr>
                <w:rFonts w:ascii="Times New Roman" w:hAnsi="Times New Roman" w:cs="Times New Roman"/>
                <w:b/>
                <w:sz w:val="24"/>
                <w:szCs w:val="24"/>
              </w:rPr>
              <w:t>Específica</w:t>
            </w:r>
          </w:p>
        </w:tc>
      </w:tr>
    </w:tbl>
    <w:p w:rsidR="00EF6439" w:rsidRDefault="00EF6439" w:rsidP="000D40D6">
      <w:pPr>
        <w:jc w:val="both"/>
        <w:rPr>
          <w:rFonts w:cstheme="minorHAnsi"/>
        </w:rPr>
      </w:pPr>
    </w:p>
    <w:p w:rsidR="00EF6439" w:rsidRDefault="00EF6439" w:rsidP="000D40D6">
      <w:pPr>
        <w:jc w:val="both"/>
        <w:rPr>
          <w:rFonts w:cstheme="minorHAnsi"/>
        </w:rPr>
      </w:pPr>
    </w:p>
    <w:p w:rsidR="00EF6439" w:rsidRDefault="00EF6439" w:rsidP="000D40D6">
      <w:pPr>
        <w:jc w:val="both"/>
        <w:rPr>
          <w:rFonts w:cstheme="minorHAnsi"/>
        </w:rPr>
      </w:pPr>
    </w:p>
    <w:p w:rsidR="00EE1EC5" w:rsidRPr="00D85ACF" w:rsidRDefault="00600B00" w:rsidP="000D40D6">
      <w:pPr>
        <w:jc w:val="both"/>
        <w:rPr>
          <w:rFonts w:cstheme="minorHAnsi"/>
        </w:rPr>
      </w:pPr>
      <w:r w:rsidRPr="00D85ACF">
        <w:rPr>
          <w:rFonts w:cstheme="minorHAnsi"/>
        </w:rPr>
        <w:lastRenderedPageBreak/>
        <w:drawing>
          <wp:inline distT="0" distB="0" distL="0" distR="0" wp14:anchorId="65D655EE" wp14:editId="73638D2E">
            <wp:extent cx="5941060" cy="4966970"/>
            <wp:effectExtent l="0" t="0" r="254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C5" w:rsidRPr="00D85ACF" w:rsidRDefault="00EE1EC5" w:rsidP="000D40D6">
      <w:pPr>
        <w:jc w:val="both"/>
        <w:rPr>
          <w:rFonts w:cstheme="minorHAnsi"/>
        </w:rPr>
      </w:pPr>
    </w:p>
    <w:p w:rsidR="00EE1EC5" w:rsidRPr="00D85ACF" w:rsidRDefault="00EE1EC5" w:rsidP="000D40D6">
      <w:pPr>
        <w:jc w:val="both"/>
        <w:rPr>
          <w:rFonts w:cstheme="minorHAnsi"/>
        </w:rPr>
      </w:pPr>
    </w:p>
    <w:p w:rsidR="00EE1EC5" w:rsidRPr="00D85ACF" w:rsidRDefault="00EE1EC5" w:rsidP="000D40D6">
      <w:pPr>
        <w:jc w:val="both"/>
        <w:rPr>
          <w:rFonts w:cstheme="minorHAnsi"/>
        </w:rPr>
      </w:pPr>
    </w:p>
    <w:p w:rsidR="00EE1EC5" w:rsidRDefault="00ED2547" w:rsidP="00ED2547">
      <w:pPr>
        <w:ind w:left="-142"/>
        <w:jc w:val="both"/>
        <w:rPr>
          <w:rFonts w:cstheme="minorHAnsi"/>
        </w:rPr>
      </w:pPr>
      <w:r>
        <w:lastRenderedPageBreak/>
        <w:drawing>
          <wp:inline distT="0" distB="0" distL="0" distR="0" wp14:anchorId="0084B946" wp14:editId="3B614F51">
            <wp:extent cx="6100086" cy="41414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027" cy="414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5C" w:rsidRPr="00D85ACF" w:rsidRDefault="00D7175C" w:rsidP="00ED2547">
      <w:pPr>
        <w:ind w:left="-142"/>
        <w:jc w:val="both"/>
        <w:rPr>
          <w:rFonts w:cstheme="minorHAnsi"/>
        </w:rPr>
      </w:pPr>
      <w:r>
        <w:drawing>
          <wp:inline distT="0" distB="0" distL="0" distR="0" wp14:anchorId="66C73E35" wp14:editId="028A40F2">
            <wp:extent cx="609981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2558" cy="6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C5" w:rsidRPr="00D85ACF" w:rsidRDefault="00EE1EC5" w:rsidP="000D40D6">
      <w:pPr>
        <w:jc w:val="both"/>
        <w:rPr>
          <w:rFonts w:cstheme="minorHAnsi"/>
        </w:rPr>
      </w:pPr>
    </w:p>
    <w:p w:rsidR="00EE1EC5" w:rsidRPr="00D85ACF" w:rsidRDefault="00EE1EC5" w:rsidP="000D40D6">
      <w:pPr>
        <w:jc w:val="both"/>
        <w:rPr>
          <w:rFonts w:cstheme="minorHAnsi"/>
        </w:rPr>
      </w:pPr>
    </w:p>
    <w:sectPr w:rsidR="00EE1EC5" w:rsidRPr="00D85ACF" w:rsidSect="003805FD">
      <w:pgSz w:w="11900" w:h="16820"/>
      <w:pgMar w:top="1263" w:right="843" w:bottom="280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BF" w:rsidRDefault="00C05DBF" w:rsidP="00E84D32">
      <w:pPr>
        <w:spacing w:after="0" w:line="240" w:lineRule="auto"/>
      </w:pPr>
      <w:r>
        <w:separator/>
      </w:r>
    </w:p>
  </w:endnote>
  <w:endnote w:type="continuationSeparator" w:id="0">
    <w:p w:rsidR="00C05DBF" w:rsidRDefault="00C05DBF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BF" w:rsidRDefault="00C05DBF" w:rsidP="00E84D32">
      <w:pPr>
        <w:spacing w:after="0" w:line="240" w:lineRule="auto"/>
      </w:pPr>
      <w:r>
        <w:separator/>
      </w:r>
    </w:p>
  </w:footnote>
  <w:footnote w:type="continuationSeparator" w:id="0">
    <w:p w:rsidR="00C05DBF" w:rsidRDefault="00C05DBF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98"/>
    <w:multiLevelType w:val="hybridMultilevel"/>
    <w:tmpl w:val="C128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778"/>
    <w:multiLevelType w:val="hybridMultilevel"/>
    <w:tmpl w:val="A746B268"/>
    <w:lvl w:ilvl="0" w:tplc="138EA6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49D"/>
    <w:multiLevelType w:val="multilevel"/>
    <w:tmpl w:val="1052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9E2531"/>
    <w:multiLevelType w:val="hybridMultilevel"/>
    <w:tmpl w:val="E076B7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8A7"/>
    <w:multiLevelType w:val="hybridMultilevel"/>
    <w:tmpl w:val="64081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4FE"/>
    <w:multiLevelType w:val="hybridMultilevel"/>
    <w:tmpl w:val="09402566"/>
    <w:lvl w:ilvl="0" w:tplc="38BCDEB2">
      <w:start w:val="1"/>
      <w:numFmt w:val="bullet"/>
      <w:lvlText w:val=""/>
      <w:lvlJc w:val="left"/>
      <w:pPr>
        <w:ind w:left="1069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150A22"/>
    <w:multiLevelType w:val="hybridMultilevel"/>
    <w:tmpl w:val="3DB26042"/>
    <w:lvl w:ilvl="0" w:tplc="3CC4AF6A">
      <w:start w:val="1"/>
      <w:numFmt w:val="lowerLetter"/>
      <w:lvlText w:val="%1)"/>
      <w:lvlJc w:val="left"/>
      <w:pPr>
        <w:ind w:left="2061" w:hanging="360"/>
      </w:pPr>
      <w:rPr>
        <w:rFonts w:asciiTheme="minorHAnsi" w:eastAsia="Times New Roman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C37690D"/>
    <w:multiLevelType w:val="hybridMultilevel"/>
    <w:tmpl w:val="E1AE842A"/>
    <w:lvl w:ilvl="0" w:tplc="2FC60C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640C"/>
    <w:multiLevelType w:val="hybridMultilevel"/>
    <w:tmpl w:val="D9B0F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4A59"/>
    <w:multiLevelType w:val="hybridMultilevel"/>
    <w:tmpl w:val="E698E208"/>
    <w:lvl w:ilvl="0" w:tplc="5C9E9A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3AA1274"/>
    <w:multiLevelType w:val="hybridMultilevel"/>
    <w:tmpl w:val="F17A5DC4"/>
    <w:lvl w:ilvl="0" w:tplc="A9606318">
      <w:start w:val="3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2A5828"/>
    <w:multiLevelType w:val="hybridMultilevel"/>
    <w:tmpl w:val="C8B20A8A"/>
    <w:lvl w:ilvl="0" w:tplc="C3447DF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3A83"/>
    <w:multiLevelType w:val="hybridMultilevel"/>
    <w:tmpl w:val="4E80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077A6"/>
    <w:rsid w:val="00010088"/>
    <w:rsid w:val="0001086C"/>
    <w:rsid w:val="000207AC"/>
    <w:rsid w:val="000370A7"/>
    <w:rsid w:val="00051FA6"/>
    <w:rsid w:val="00055DD1"/>
    <w:rsid w:val="000564B7"/>
    <w:rsid w:val="000617D0"/>
    <w:rsid w:val="00070E49"/>
    <w:rsid w:val="00075AD5"/>
    <w:rsid w:val="00094D38"/>
    <w:rsid w:val="00096E77"/>
    <w:rsid w:val="000B45F1"/>
    <w:rsid w:val="000B7167"/>
    <w:rsid w:val="000C4F7E"/>
    <w:rsid w:val="000D40D6"/>
    <w:rsid w:val="000E1E17"/>
    <w:rsid w:val="000F2424"/>
    <w:rsid w:val="000F4A6F"/>
    <w:rsid w:val="001001BF"/>
    <w:rsid w:val="00101D37"/>
    <w:rsid w:val="001257ED"/>
    <w:rsid w:val="001301F9"/>
    <w:rsid w:val="00130D94"/>
    <w:rsid w:val="001326DB"/>
    <w:rsid w:val="00134B8B"/>
    <w:rsid w:val="00150F98"/>
    <w:rsid w:val="00154CEA"/>
    <w:rsid w:val="00157B2D"/>
    <w:rsid w:val="001664D9"/>
    <w:rsid w:val="00177A7F"/>
    <w:rsid w:val="00181E3C"/>
    <w:rsid w:val="001840E4"/>
    <w:rsid w:val="00195A69"/>
    <w:rsid w:val="00197C08"/>
    <w:rsid w:val="001C1D1E"/>
    <w:rsid w:val="001D403F"/>
    <w:rsid w:val="00203E64"/>
    <w:rsid w:val="00206DCD"/>
    <w:rsid w:val="00225511"/>
    <w:rsid w:val="00225B79"/>
    <w:rsid w:val="002363B6"/>
    <w:rsid w:val="00237DF3"/>
    <w:rsid w:val="00255F0E"/>
    <w:rsid w:val="00265B9C"/>
    <w:rsid w:val="00271A80"/>
    <w:rsid w:val="0027459A"/>
    <w:rsid w:val="00280A10"/>
    <w:rsid w:val="002A32D1"/>
    <w:rsid w:val="002C2112"/>
    <w:rsid w:val="002E103C"/>
    <w:rsid w:val="002E2C45"/>
    <w:rsid w:val="002F7CB6"/>
    <w:rsid w:val="003068B7"/>
    <w:rsid w:val="00313382"/>
    <w:rsid w:val="003304BC"/>
    <w:rsid w:val="00333C72"/>
    <w:rsid w:val="003359EC"/>
    <w:rsid w:val="00350DCD"/>
    <w:rsid w:val="00373043"/>
    <w:rsid w:val="003758DF"/>
    <w:rsid w:val="003805FD"/>
    <w:rsid w:val="0038340B"/>
    <w:rsid w:val="0038425F"/>
    <w:rsid w:val="003A7CCA"/>
    <w:rsid w:val="003B4893"/>
    <w:rsid w:val="003B6D82"/>
    <w:rsid w:val="003C03C6"/>
    <w:rsid w:val="003C26DE"/>
    <w:rsid w:val="003C563F"/>
    <w:rsid w:val="003E26D3"/>
    <w:rsid w:val="003F6F50"/>
    <w:rsid w:val="004451AF"/>
    <w:rsid w:val="00467DDE"/>
    <w:rsid w:val="00471975"/>
    <w:rsid w:val="0047768E"/>
    <w:rsid w:val="00483E8A"/>
    <w:rsid w:val="00486569"/>
    <w:rsid w:val="004962F0"/>
    <w:rsid w:val="004A1B48"/>
    <w:rsid w:val="004A2B76"/>
    <w:rsid w:val="004B2B4C"/>
    <w:rsid w:val="004B4144"/>
    <w:rsid w:val="004C4011"/>
    <w:rsid w:val="004D327E"/>
    <w:rsid w:val="004E1EB0"/>
    <w:rsid w:val="004E243E"/>
    <w:rsid w:val="004E4975"/>
    <w:rsid w:val="004F4AAF"/>
    <w:rsid w:val="004F4CD5"/>
    <w:rsid w:val="00504A8D"/>
    <w:rsid w:val="00510F19"/>
    <w:rsid w:val="00543955"/>
    <w:rsid w:val="0054605B"/>
    <w:rsid w:val="0054636C"/>
    <w:rsid w:val="00551164"/>
    <w:rsid w:val="00557C2E"/>
    <w:rsid w:val="005618CF"/>
    <w:rsid w:val="00587A2F"/>
    <w:rsid w:val="00591BCD"/>
    <w:rsid w:val="0059220B"/>
    <w:rsid w:val="00597670"/>
    <w:rsid w:val="005B2D04"/>
    <w:rsid w:val="005B515C"/>
    <w:rsid w:val="005C12E6"/>
    <w:rsid w:val="005C59D6"/>
    <w:rsid w:val="005D01D9"/>
    <w:rsid w:val="005E1D9E"/>
    <w:rsid w:val="005E5802"/>
    <w:rsid w:val="00600B00"/>
    <w:rsid w:val="006156AF"/>
    <w:rsid w:val="00621BE0"/>
    <w:rsid w:val="00631874"/>
    <w:rsid w:val="00633C17"/>
    <w:rsid w:val="006368DF"/>
    <w:rsid w:val="00637F36"/>
    <w:rsid w:val="00646EB5"/>
    <w:rsid w:val="0065304F"/>
    <w:rsid w:val="00661AAF"/>
    <w:rsid w:val="00670D14"/>
    <w:rsid w:val="00682E09"/>
    <w:rsid w:val="00694D8B"/>
    <w:rsid w:val="006B16CB"/>
    <w:rsid w:val="006B350B"/>
    <w:rsid w:val="006C536C"/>
    <w:rsid w:val="006D56D0"/>
    <w:rsid w:val="006E26CA"/>
    <w:rsid w:val="006F1A4F"/>
    <w:rsid w:val="00725753"/>
    <w:rsid w:val="00743056"/>
    <w:rsid w:val="00746D4C"/>
    <w:rsid w:val="007547E4"/>
    <w:rsid w:val="00775EC4"/>
    <w:rsid w:val="00797DC4"/>
    <w:rsid w:val="007A7CBB"/>
    <w:rsid w:val="007C0032"/>
    <w:rsid w:val="007C2040"/>
    <w:rsid w:val="007C2E31"/>
    <w:rsid w:val="007D7EB6"/>
    <w:rsid w:val="007F4527"/>
    <w:rsid w:val="00800080"/>
    <w:rsid w:val="00814F7D"/>
    <w:rsid w:val="00822501"/>
    <w:rsid w:val="008228B6"/>
    <w:rsid w:val="00841529"/>
    <w:rsid w:val="008666EE"/>
    <w:rsid w:val="00874EFA"/>
    <w:rsid w:val="00876ECC"/>
    <w:rsid w:val="00884FE6"/>
    <w:rsid w:val="00885020"/>
    <w:rsid w:val="00885666"/>
    <w:rsid w:val="0089562D"/>
    <w:rsid w:val="008B0A31"/>
    <w:rsid w:val="008E12A4"/>
    <w:rsid w:val="008E7F2A"/>
    <w:rsid w:val="008F652A"/>
    <w:rsid w:val="00912D17"/>
    <w:rsid w:val="00916049"/>
    <w:rsid w:val="009163FF"/>
    <w:rsid w:val="009209AB"/>
    <w:rsid w:val="00933D68"/>
    <w:rsid w:val="009414B1"/>
    <w:rsid w:val="00962C89"/>
    <w:rsid w:val="00967742"/>
    <w:rsid w:val="00981D8E"/>
    <w:rsid w:val="009826A0"/>
    <w:rsid w:val="009837AC"/>
    <w:rsid w:val="009A012E"/>
    <w:rsid w:val="009A028D"/>
    <w:rsid w:val="009C2842"/>
    <w:rsid w:val="009D1798"/>
    <w:rsid w:val="009D263A"/>
    <w:rsid w:val="009E0EFF"/>
    <w:rsid w:val="009E3610"/>
    <w:rsid w:val="009E6FAD"/>
    <w:rsid w:val="009F56E4"/>
    <w:rsid w:val="00A04A0C"/>
    <w:rsid w:val="00A117CD"/>
    <w:rsid w:val="00A1695B"/>
    <w:rsid w:val="00A349FD"/>
    <w:rsid w:val="00A42A2A"/>
    <w:rsid w:val="00A462FB"/>
    <w:rsid w:val="00A46E54"/>
    <w:rsid w:val="00A548C3"/>
    <w:rsid w:val="00A646F0"/>
    <w:rsid w:val="00A90948"/>
    <w:rsid w:val="00AA1062"/>
    <w:rsid w:val="00AB0864"/>
    <w:rsid w:val="00AB0D85"/>
    <w:rsid w:val="00AB47FB"/>
    <w:rsid w:val="00AC6B45"/>
    <w:rsid w:val="00AD2513"/>
    <w:rsid w:val="00AF63C8"/>
    <w:rsid w:val="00AF7BD6"/>
    <w:rsid w:val="00B01183"/>
    <w:rsid w:val="00B02D25"/>
    <w:rsid w:val="00B10788"/>
    <w:rsid w:val="00B169E2"/>
    <w:rsid w:val="00B31284"/>
    <w:rsid w:val="00B33DC5"/>
    <w:rsid w:val="00B43766"/>
    <w:rsid w:val="00B5191C"/>
    <w:rsid w:val="00B643F5"/>
    <w:rsid w:val="00B8117D"/>
    <w:rsid w:val="00BA03AB"/>
    <w:rsid w:val="00BA124D"/>
    <w:rsid w:val="00BB1198"/>
    <w:rsid w:val="00BB51C8"/>
    <w:rsid w:val="00BC4220"/>
    <w:rsid w:val="00BD6A25"/>
    <w:rsid w:val="00BF5647"/>
    <w:rsid w:val="00BF5A52"/>
    <w:rsid w:val="00C05DBF"/>
    <w:rsid w:val="00C0718A"/>
    <w:rsid w:val="00C10047"/>
    <w:rsid w:val="00C277A4"/>
    <w:rsid w:val="00C31597"/>
    <w:rsid w:val="00C32C9D"/>
    <w:rsid w:val="00C501E5"/>
    <w:rsid w:val="00C530D3"/>
    <w:rsid w:val="00C636C9"/>
    <w:rsid w:val="00C67A0C"/>
    <w:rsid w:val="00C72E3D"/>
    <w:rsid w:val="00C73386"/>
    <w:rsid w:val="00C84147"/>
    <w:rsid w:val="00CA3AC5"/>
    <w:rsid w:val="00CC1707"/>
    <w:rsid w:val="00CC75AC"/>
    <w:rsid w:val="00CC7B75"/>
    <w:rsid w:val="00CD39E4"/>
    <w:rsid w:val="00CE0786"/>
    <w:rsid w:val="00CF0B67"/>
    <w:rsid w:val="00CF39D4"/>
    <w:rsid w:val="00CF3B03"/>
    <w:rsid w:val="00D03703"/>
    <w:rsid w:val="00D1289A"/>
    <w:rsid w:val="00D34D47"/>
    <w:rsid w:val="00D4304C"/>
    <w:rsid w:val="00D46A15"/>
    <w:rsid w:val="00D50405"/>
    <w:rsid w:val="00D51B5D"/>
    <w:rsid w:val="00D52FE5"/>
    <w:rsid w:val="00D53700"/>
    <w:rsid w:val="00D53E1A"/>
    <w:rsid w:val="00D54AF8"/>
    <w:rsid w:val="00D57204"/>
    <w:rsid w:val="00D70CE1"/>
    <w:rsid w:val="00D7175C"/>
    <w:rsid w:val="00D85ACF"/>
    <w:rsid w:val="00D863B1"/>
    <w:rsid w:val="00DA2444"/>
    <w:rsid w:val="00DF6D53"/>
    <w:rsid w:val="00E1549F"/>
    <w:rsid w:val="00E1777D"/>
    <w:rsid w:val="00E42D3C"/>
    <w:rsid w:val="00E5287D"/>
    <w:rsid w:val="00E6016D"/>
    <w:rsid w:val="00E84D32"/>
    <w:rsid w:val="00E943C1"/>
    <w:rsid w:val="00E963D9"/>
    <w:rsid w:val="00E96FB9"/>
    <w:rsid w:val="00EB59F7"/>
    <w:rsid w:val="00ED2547"/>
    <w:rsid w:val="00EE1EC5"/>
    <w:rsid w:val="00EE3F10"/>
    <w:rsid w:val="00EF1908"/>
    <w:rsid w:val="00EF6439"/>
    <w:rsid w:val="00F02639"/>
    <w:rsid w:val="00F06D7D"/>
    <w:rsid w:val="00F16E40"/>
    <w:rsid w:val="00F22231"/>
    <w:rsid w:val="00F26B27"/>
    <w:rsid w:val="00F31959"/>
    <w:rsid w:val="00F33463"/>
    <w:rsid w:val="00F52BEB"/>
    <w:rsid w:val="00F707BE"/>
    <w:rsid w:val="00F80E14"/>
    <w:rsid w:val="00FA4546"/>
    <w:rsid w:val="00FB6202"/>
    <w:rsid w:val="00FC5165"/>
    <w:rsid w:val="00FD3285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2EDC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3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243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7742"/>
    <w:rPr>
      <w:b/>
      <w:bCs/>
    </w:rPr>
  </w:style>
  <w:style w:type="paragraph" w:customStyle="1" w:styleId="Default">
    <w:name w:val="Default"/>
    <w:rsid w:val="0001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E2A6-69D3-4FC4-AC68-DC0EC869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2085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15</cp:revision>
  <dcterms:created xsi:type="dcterms:W3CDTF">2019-10-03T14:24:00Z</dcterms:created>
  <dcterms:modified xsi:type="dcterms:W3CDTF">2019-10-03T17:24:00Z</dcterms:modified>
</cp:coreProperties>
</file>