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6F" w:rsidRDefault="000F4A6F" w:rsidP="000F4A6F">
      <w:pPr>
        <w:spacing w:after="0"/>
        <w:ind w:right="441"/>
        <w:jc w:val="both"/>
      </w:pPr>
    </w:p>
    <w:p w:rsidR="000F4A6F" w:rsidRDefault="000F4A6F" w:rsidP="000F4A6F">
      <w:pPr>
        <w:spacing w:after="0"/>
        <w:ind w:right="441"/>
        <w:jc w:val="center"/>
      </w:pPr>
      <w:r>
        <w:t>INSTRUÇÃO NORMATIVA Nº 000/2019.</w:t>
      </w:r>
    </w:p>
    <w:p w:rsidR="000F4A6F" w:rsidRDefault="000F4A6F" w:rsidP="000F4A6F">
      <w:pPr>
        <w:spacing w:after="0"/>
        <w:ind w:right="441"/>
        <w:jc w:val="both"/>
      </w:pPr>
    </w:p>
    <w:p w:rsidR="000F4A6F" w:rsidRDefault="000F4A6F" w:rsidP="000F4A6F">
      <w:pPr>
        <w:spacing w:after="0"/>
        <w:ind w:left="4395" w:right="441"/>
        <w:jc w:val="both"/>
      </w:pPr>
      <w:r>
        <w:t xml:space="preserve">O Controle Interno do Município de .............. no uso das atribuições que lhe confere, dispõe sobre os procedimentos gerais para o </w:t>
      </w:r>
      <w:r w:rsidR="004363CC">
        <w:t>planejamento e controle das aplicações por fonte de recursos</w:t>
      </w:r>
      <w:r>
        <w:t>, no âmbito do Poder Executivo do Município.</w:t>
      </w:r>
    </w:p>
    <w:p w:rsidR="000F4A6F" w:rsidRDefault="000F4A6F" w:rsidP="000F4A6F">
      <w:pPr>
        <w:spacing w:after="0"/>
        <w:ind w:right="441"/>
        <w:jc w:val="both"/>
      </w:pPr>
    </w:p>
    <w:p w:rsidR="000F4A6F" w:rsidRDefault="000F4A6F" w:rsidP="000F4A6F">
      <w:pPr>
        <w:spacing w:after="0"/>
        <w:ind w:right="441"/>
        <w:jc w:val="both"/>
      </w:pPr>
    </w:p>
    <w:p w:rsidR="000F4A6F" w:rsidRDefault="000F4A6F" w:rsidP="000F4A6F">
      <w:pPr>
        <w:spacing w:after="0"/>
        <w:ind w:right="441"/>
        <w:jc w:val="both"/>
      </w:pPr>
    </w:p>
    <w:p w:rsidR="000F4A6F" w:rsidRDefault="000F4A6F" w:rsidP="000F4A6F">
      <w:pPr>
        <w:spacing w:after="0"/>
        <w:ind w:right="441"/>
        <w:jc w:val="both"/>
      </w:pPr>
    </w:p>
    <w:p w:rsidR="000F4A6F" w:rsidRDefault="000F4A6F" w:rsidP="000F4A6F">
      <w:pPr>
        <w:spacing w:after="0"/>
        <w:ind w:right="441" w:firstLine="1701"/>
        <w:jc w:val="both"/>
      </w:pPr>
      <w:r>
        <w:t xml:space="preserve">CONSIDERANDO a necessidade de padronizar o conjunto de princípios e procedimentos destinados </w:t>
      </w:r>
      <w:r w:rsidR="00C13079">
        <w:t>ao planejamento e controle das aplicações por fonte de recursos</w:t>
      </w:r>
      <w:r>
        <w:t>;</w:t>
      </w:r>
    </w:p>
    <w:p w:rsidR="00C13079" w:rsidRDefault="00C13079" w:rsidP="000F4A6F">
      <w:pPr>
        <w:spacing w:after="0"/>
        <w:ind w:right="441" w:firstLine="1701"/>
        <w:jc w:val="both"/>
      </w:pPr>
    </w:p>
    <w:p w:rsidR="000F4A6F" w:rsidRDefault="000F4A6F" w:rsidP="00C13079">
      <w:pPr>
        <w:spacing w:after="0"/>
        <w:ind w:right="441" w:firstLine="1701"/>
        <w:jc w:val="both"/>
      </w:pPr>
      <w:r>
        <w:t xml:space="preserve">CONSIDERANDO a necessidade de normatizar </w:t>
      </w:r>
      <w:r w:rsidR="00C13079">
        <w:t>o planejamento</w:t>
      </w:r>
      <w:r w:rsidR="007E0690">
        <w:t xml:space="preserve"> para </w:t>
      </w:r>
      <w:r w:rsidR="001421C7">
        <w:t>a</w:t>
      </w:r>
      <w:r w:rsidR="007E0690">
        <w:t xml:space="preserve"> previsão das receitas e da despesa orçamentária</w:t>
      </w:r>
      <w:r w:rsidR="001421C7">
        <w:t>, considerando seus percentuais de aplicação para a Educação e Saúde</w:t>
      </w:r>
      <w:r w:rsidR="00BA23E3">
        <w:t>, ainda a aplicação dos percentuais do FUNDEB e demais interveniências financeiras</w:t>
      </w:r>
      <w:r>
        <w:t>.</w:t>
      </w:r>
    </w:p>
    <w:p w:rsidR="000F4A6F" w:rsidRDefault="000F4A6F" w:rsidP="000F4A6F">
      <w:pPr>
        <w:spacing w:after="0"/>
        <w:ind w:right="441"/>
        <w:jc w:val="both"/>
      </w:pPr>
    </w:p>
    <w:p w:rsidR="000F4A6F" w:rsidRDefault="000F4A6F" w:rsidP="000F4A6F">
      <w:pPr>
        <w:spacing w:after="0"/>
        <w:ind w:right="441" w:firstLine="1701"/>
      </w:pPr>
      <w:r>
        <w:t>RESOLVE:</w:t>
      </w:r>
    </w:p>
    <w:p w:rsidR="000F4A6F" w:rsidRDefault="000F4A6F" w:rsidP="000F4A6F">
      <w:pPr>
        <w:spacing w:after="0"/>
        <w:ind w:right="441"/>
        <w:jc w:val="center"/>
      </w:pPr>
      <w:r>
        <w:t>CAPÍTULO I</w:t>
      </w:r>
    </w:p>
    <w:p w:rsidR="000F4A6F" w:rsidRDefault="000F4A6F" w:rsidP="000F4A6F">
      <w:pPr>
        <w:spacing w:after="0"/>
        <w:ind w:right="441"/>
        <w:jc w:val="center"/>
      </w:pPr>
      <w:r>
        <w:t>FINALIDADE</w:t>
      </w:r>
    </w:p>
    <w:p w:rsidR="000F4A6F" w:rsidRDefault="000F4A6F" w:rsidP="000F4A6F">
      <w:pPr>
        <w:spacing w:after="0"/>
        <w:ind w:right="441"/>
        <w:jc w:val="center"/>
      </w:pPr>
    </w:p>
    <w:p w:rsidR="000F4A6F" w:rsidRDefault="000F4A6F" w:rsidP="000F4A6F">
      <w:pPr>
        <w:spacing w:after="0"/>
        <w:ind w:right="441" w:firstLine="1701"/>
        <w:jc w:val="both"/>
      </w:pPr>
      <w:r>
        <w:t xml:space="preserve">Art. 1º A presente Instrução Normativa tem por finalidade disciplinar procedimentos e rotinas para </w:t>
      </w:r>
      <w:r w:rsidR="00B73DD3">
        <w:t>elaboração do PPA, LDO e LOA quanto as fontes de recursos e posterior realização de receitas</w:t>
      </w:r>
      <w:r w:rsidR="00EF74D1">
        <w:t>,</w:t>
      </w:r>
      <w:r w:rsidR="00B73DD3">
        <w:t xml:space="preserve"> execuçao </w:t>
      </w:r>
      <w:r w:rsidR="00EF74D1">
        <w:t>da despesa e interveniências financeiras entre as entidades do município.</w:t>
      </w:r>
    </w:p>
    <w:p w:rsidR="000F4A6F" w:rsidRDefault="000F4A6F" w:rsidP="000F4A6F">
      <w:pPr>
        <w:spacing w:after="0"/>
        <w:ind w:right="441" w:firstLine="1701"/>
        <w:jc w:val="both"/>
      </w:pPr>
    </w:p>
    <w:p w:rsidR="000F4A6F" w:rsidRDefault="000F4A6F" w:rsidP="000F4A6F">
      <w:pPr>
        <w:spacing w:after="0"/>
        <w:ind w:right="441"/>
        <w:jc w:val="center"/>
      </w:pPr>
      <w:r>
        <w:t>CAPÍTULO II</w:t>
      </w:r>
    </w:p>
    <w:p w:rsidR="000F4A6F" w:rsidRDefault="000F4A6F" w:rsidP="000F4A6F">
      <w:pPr>
        <w:spacing w:after="0"/>
        <w:ind w:right="441"/>
        <w:jc w:val="center"/>
      </w:pPr>
      <w:r>
        <w:t>ABRANGÊNCIA</w:t>
      </w:r>
    </w:p>
    <w:p w:rsidR="000F4A6F" w:rsidRDefault="000F4A6F" w:rsidP="000F4A6F">
      <w:pPr>
        <w:spacing w:after="0"/>
        <w:ind w:right="441"/>
        <w:jc w:val="center"/>
      </w:pPr>
    </w:p>
    <w:p w:rsidR="000F4A6F" w:rsidRDefault="000F4A6F" w:rsidP="000F4A6F">
      <w:pPr>
        <w:spacing w:after="0"/>
        <w:ind w:right="441" w:firstLine="1701"/>
        <w:jc w:val="both"/>
      </w:pPr>
      <w:r>
        <w:t>Art. 2º Esta norma abrange todos os órgãos da administração direta e indireta do Poder</w:t>
      </w:r>
    </w:p>
    <w:p w:rsidR="000F4A6F" w:rsidRDefault="000F4A6F" w:rsidP="000F4A6F">
      <w:pPr>
        <w:spacing w:after="0"/>
        <w:ind w:right="441"/>
        <w:jc w:val="both"/>
      </w:pPr>
      <w:r>
        <w:t>Executivo Municipal.</w:t>
      </w:r>
    </w:p>
    <w:p w:rsidR="000F4A6F" w:rsidRDefault="000F4A6F" w:rsidP="000F4A6F">
      <w:pPr>
        <w:spacing w:after="0"/>
        <w:ind w:right="441"/>
        <w:jc w:val="both"/>
      </w:pPr>
    </w:p>
    <w:p w:rsidR="000F4A6F" w:rsidRDefault="000F4A6F" w:rsidP="000F4A6F">
      <w:pPr>
        <w:spacing w:after="0"/>
        <w:ind w:right="441"/>
        <w:jc w:val="center"/>
      </w:pPr>
      <w:r>
        <w:t>CAPÍTULO III</w:t>
      </w:r>
    </w:p>
    <w:p w:rsidR="000F4A6F" w:rsidRDefault="000F4A6F" w:rsidP="000F4A6F">
      <w:pPr>
        <w:spacing w:after="0"/>
        <w:ind w:right="441"/>
        <w:jc w:val="center"/>
      </w:pPr>
      <w:r>
        <w:t>CONCEITOS</w:t>
      </w:r>
    </w:p>
    <w:p w:rsidR="000F4A6F" w:rsidRDefault="000F4A6F" w:rsidP="000F4A6F">
      <w:pPr>
        <w:spacing w:after="0"/>
        <w:ind w:right="441"/>
        <w:jc w:val="center"/>
      </w:pPr>
    </w:p>
    <w:p w:rsidR="000F4A6F" w:rsidRDefault="000F4A6F" w:rsidP="000F4A6F">
      <w:pPr>
        <w:spacing w:after="0"/>
        <w:ind w:right="441" w:firstLine="1701"/>
        <w:jc w:val="both"/>
      </w:pPr>
      <w:r>
        <w:t>Art. 3° Para os fins desta Instrução Normativa considera-se:</w:t>
      </w:r>
    </w:p>
    <w:p w:rsidR="000F4A6F" w:rsidRDefault="000F4A6F" w:rsidP="000F4A6F">
      <w:pPr>
        <w:spacing w:after="0"/>
        <w:ind w:right="441" w:firstLine="1701"/>
        <w:jc w:val="both"/>
      </w:pPr>
    </w:p>
    <w:p w:rsidR="00A45DBC" w:rsidRDefault="000F4A6F" w:rsidP="000F4A6F">
      <w:pPr>
        <w:spacing w:after="0"/>
        <w:ind w:right="441" w:firstLine="1701"/>
        <w:jc w:val="both"/>
        <w:rPr>
          <w:rFonts w:ascii="Arial" w:hAnsi="Arial" w:cs="Arial"/>
          <w:color w:val="222222"/>
          <w:shd w:val="clear" w:color="auto" w:fill="FFFFFF"/>
        </w:rPr>
      </w:pPr>
      <w:r>
        <w:t xml:space="preserve">I </w:t>
      </w:r>
      <w:r w:rsidR="00C01AEF">
        <w:t>–</w:t>
      </w:r>
      <w:r>
        <w:t xml:space="preserve"> </w:t>
      </w:r>
      <w:r w:rsidR="00C01AEF" w:rsidRPr="00076E84">
        <w:rPr>
          <w:b/>
          <w:bCs/>
        </w:rPr>
        <w:t>Fonte de Recursos</w:t>
      </w:r>
      <w:r>
        <w:t xml:space="preserve"> - </w:t>
      </w:r>
      <w:r w:rsidR="008F45C8">
        <w:rPr>
          <w:rFonts w:ascii="Arial" w:hAnsi="Arial" w:cs="Arial"/>
          <w:color w:val="222222"/>
          <w:shd w:val="clear" w:color="auto" w:fill="FFFFFF"/>
        </w:rPr>
        <w:t>Classificação da receita segundo a destinação legal dos </w:t>
      </w:r>
      <w:r w:rsidR="008F45C8">
        <w:rPr>
          <w:rFonts w:ascii="Arial" w:hAnsi="Arial" w:cs="Arial"/>
          <w:b/>
          <w:bCs/>
          <w:color w:val="222222"/>
          <w:shd w:val="clear" w:color="auto" w:fill="FFFFFF"/>
        </w:rPr>
        <w:t>recursos</w:t>
      </w:r>
      <w:r w:rsidR="008F45C8">
        <w:rPr>
          <w:rFonts w:ascii="Arial" w:hAnsi="Arial" w:cs="Arial"/>
          <w:color w:val="222222"/>
          <w:shd w:val="clear" w:color="auto" w:fill="FFFFFF"/>
        </w:rPr>
        <w:t> arrecadados. As </w:t>
      </w:r>
      <w:r w:rsidR="008F45C8">
        <w:rPr>
          <w:rFonts w:ascii="Arial" w:hAnsi="Arial" w:cs="Arial"/>
          <w:b/>
          <w:bCs/>
          <w:color w:val="222222"/>
          <w:shd w:val="clear" w:color="auto" w:fill="FFFFFF"/>
        </w:rPr>
        <w:t>fontes de recursos</w:t>
      </w:r>
      <w:r w:rsidR="008F45C8">
        <w:rPr>
          <w:rFonts w:ascii="Arial" w:hAnsi="Arial" w:cs="Arial"/>
          <w:color w:val="222222"/>
          <w:shd w:val="clear" w:color="auto" w:fill="FFFFFF"/>
        </w:rPr>
        <w:t> constituem-se de determinados agrupamentos de naturezas de receitas, atendendo a uma determinada regra de destinação legal, e servem para indicar como são financiadas as despesas orçamentárias.</w:t>
      </w:r>
      <w:r w:rsidR="008F45C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50AF3" w:rsidRDefault="00050AF3" w:rsidP="000F4A6F">
      <w:pPr>
        <w:spacing w:after="0"/>
        <w:ind w:right="441" w:firstLine="1701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Para um melhor entendimento, dividiremos a Fonte de Recursos em:</w:t>
      </w:r>
    </w:p>
    <w:p w:rsidR="002736A6" w:rsidRPr="002736A6" w:rsidRDefault="002736A6" w:rsidP="002736A6">
      <w:pPr>
        <w:pStyle w:val="PargrafodaLista"/>
        <w:numPr>
          <w:ilvl w:val="0"/>
          <w:numId w:val="7"/>
        </w:numPr>
        <w:shd w:val="clear" w:color="auto" w:fill="FFFFFF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2736A6">
        <w:rPr>
          <w:rFonts w:ascii="Verdana" w:hAnsi="Verdana"/>
          <w:b/>
          <w:sz w:val="24"/>
          <w:szCs w:val="24"/>
        </w:rPr>
        <w:t>Fonte</w:t>
      </w:r>
      <w:r w:rsidRPr="002736A6">
        <w:rPr>
          <w:rFonts w:ascii="Verdana" w:hAnsi="Verdana"/>
          <w:sz w:val="24"/>
          <w:szCs w:val="24"/>
        </w:rPr>
        <w:t xml:space="preserve"> </w:t>
      </w:r>
      <w:r>
        <w:sym w:font="Wingdings" w:char="F0E0"/>
      </w:r>
      <w:r w:rsidRPr="002736A6">
        <w:rPr>
          <w:rFonts w:ascii="Verdana" w:hAnsi="Verdana"/>
          <w:sz w:val="24"/>
          <w:szCs w:val="24"/>
        </w:rPr>
        <w:t xml:space="preserve"> </w:t>
      </w:r>
      <w:r w:rsidRPr="002736A6"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pt-BR"/>
        </w:rPr>
        <w:t xml:space="preserve">figurado (sentido)figuradamente </w:t>
      </w:r>
      <w:r w:rsidRPr="002736A6"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origem</w:t>
      </w:r>
      <w:r w:rsidRPr="002736A6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; causa.</w:t>
      </w:r>
    </w:p>
    <w:p w:rsidR="002736A6" w:rsidRPr="002736A6" w:rsidRDefault="002736A6" w:rsidP="002736A6">
      <w:pPr>
        <w:pStyle w:val="PargrafodaLista"/>
        <w:numPr>
          <w:ilvl w:val="0"/>
          <w:numId w:val="7"/>
        </w:numPr>
        <w:shd w:val="clear" w:color="auto" w:fill="FFFFFF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2736A6"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Recurso</w:t>
      </w:r>
      <w:r w:rsidRPr="002736A6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s </w:t>
      </w:r>
      <w:r>
        <w:rPr>
          <w:lang w:eastAsia="pt-BR"/>
        </w:rPr>
        <w:sym w:font="Wingdings" w:char="F0E0"/>
      </w:r>
      <w:r w:rsidRPr="002736A6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</w:t>
      </w:r>
      <w:r w:rsidRPr="002736A6"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pt-BR"/>
        </w:rPr>
        <w:t xml:space="preserve">figurado (sentido)figuradamente </w:t>
      </w:r>
      <w:r w:rsidRPr="002736A6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riquezas, </w:t>
      </w:r>
      <w:r w:rsidRPr="002736A6"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fundos</w:t>
      </w:r>
      <w:r w:rsidRPr="002736A6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, meios </w:t>
      </w:r>
      <w:r w:rsidRPr="002736A6"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de que se pode dispor</w:t>
      </w:r>
      <w:r w:rsidRPr="002736A6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.</w:t>
      </w:r>
    </w:p>
    <w:p w:rsidR="00050AF3" w:rsidRPr="00050AF3" w:rsidRDefault="00050AF3" w:rsidP="002736A6">
      <w:pPr>
        <w:pStyle w:val="PargrafodaLista"/>
        <w:spacing w:after="0"/>
        <w:ind w:left="2061" w:right="441"/>
        <w:jc w:val="both"/>
        <w:rPr>
          <w:rFonts w:ascii="Arial" w:hAnsi="Arial" w:cs="Arial"/>
          <w:color w:val="222222"/>
          <w:shd w:val="clear" w:color="auto" w:fill="FFFFFF"/>
        </w:rPr>
      </w:pPr>
    </w:p>
    <w:p w:rsidR="000F4A6F" w:rsidRDefault="008F45C8" w:rsidP="000F4A6F">
      <w:pPr>
        <w:spacing w:after="0"/>
        <w:ind w:right="441" w:firstLine="1701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Para o estado de Rondônia deverá ser seguido </w:t>
      </w:r>
      <w:r w:rsidR="00545ED0">
        <w:rPr>
          <w:rFonts w:ascii="Arial" w:hAnsi="Arial" w:cs="Arial"/>
          <w:color w:val="222222"/>
          <w:shd w:val="clear" w:color="auto" w:fill="FFFFFF"/>
        </w:rPr>
        <w:t>a relação das fontes de recursos disponibilizadas pelo Tribunal de Contas do Estado.</w:t>
      </w:r>
    </w:p>
    <w:p w:rsidR="00545ED0" w:rsidRDefault="00545ED0" w:rsidP="000F4A6F">
      <w:pPr>
        <w:spacing w:after="0"/>
        <w:ind w:right="441" w:firstLine="1701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45ED0" w:rsidRDefault="00545ED0" w:rsidP="000F4A6F">
      <w:pPr>
        <w:spacing w:after="0"/>
        <w:ind w:right="441" w:firstLine="1701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II – </w:t>
      </w:r>
      <w:r w:rsidRPr="00076E84">
        <w:rPr>
          <w:rFonts w:ascii="Arial" w:hAnsi="Arial" w:cs="Arial"/>
          <w:b/>
          <w:bCs/>
          <w:color w:val="222222"/>
          <w:shd w:val="clear" w:color="auto" w:fill="FFFFFF"/>
        </w:rPr>
        <w:t>Composição das Fontes de Recursos</w:t>
      </w:r>
      <w:r>
        <w:rPr>
          <w:rFonts w:ascii="Arial" w:hAnsi="Arial" w:cs="Arial"/>
          <w:color w:val="222222"/>
          <w:shd w:val="clear" w:color="auto" w:fill="FFFFFF"/>
        </w:rPr>
        <w:t xml:space="preserve"> – As fontes de recursos para o estado de Rondonia serão </w:t>
      </w:r>
      <w:r w:rsidR="000F4AD0">
        <w:rPr>
          <w:rFonts w:ascii="Arial" w:hAnsi="Arial" w:cs="Arial"/>
          <w:color w:val="222222"/>
          <w:shd w:val="clear" w:color="auto" w:fill="FFFFFF"/>
        </w:rPr>
        <w:t xml:space="preserve">compostas pela máscara 00.000.0000, </w:t>
      </w:r>
      <w:r>
        <w:rPr>
          <w:rFonts w:ascii="Arial" w:hAnsi="Arial" w:cs="Arial"/>
          <w:color w:val="222222"/>
          <w:shd w:val="clear" w:color="auto" w:fill="FFFFFF"/>
        </w:rPr>
        <w:t xml:space="preserve">classificadas </w:t>
      </w:r>
      <w:r w:rsidR="000F4AD0">
        <w:rPr>
          <w:rFonts w:ascii="Arial" w:hAnsi="Arial" w:cs="Arial"/>
          <w:color w:val="222222"/>
          <w:shd w:val="clear" w:color="auto" w:fill="FFFFFF"/>
        </w:rPr>
        <w:t>em</w:t>
      </w:r>
      <w:r w:rsidR="003D10AD">
        <w:rPr>
          <w:rFonts w:ascii="Arial" w:hAnsi="Arial" w:cs="Arial"/>
          <w:color w:val="222222"/>
          <w:shd w:val="clear" w:color="auto" w:fill="FFFFFF"/>
        </w:rPr>
        <w:t xml:space="preserve"> três grupos, sendo:</w:t>
      </w:r>
    </w:p>
    <w:p w:rsidR="003D10AD" w:rsidRDefault="00BE3674" w:rsidP="003D10AD">
      <w:pPr>
        <w:pStyle w:val="PargrafodaLista"/>
        <w:numPr>
          <w:ilvl w:val="0"/>
          <w:numId w:val="6"/>
        </w:numPr>
        <w:spacing w:after="0"/>
        <w:ind w:right="441"/>
        <w:jc w:val="both"/>
      </w:pPr>
      <w:r>
        <w:t xml:space="preserve">Tabela </w:t>
      </w:r>
      <w:r w:rsidR="0069632D">
        <w:t>1</w:t>
      </w:r>
      <w:r>
        <w:t xml:space="preserve"> - </w:t>
      </w:r>
      <w:r w:rsidRPr="00BE3674">
        <w:t>GRUPO DE DESTINAÇÃO DE RECURSOS</w:t>
      </w:r>
      <w:r>
        <w:t>, composta por 2 digitos</w:t>
      </w:r>
      <w:r w:rsidR="006A6170">
        <w:t>.</w:t>
      </w:r>
    </w:p>
    <w:p w:rsidR="006A6170" w:rsidRDefault="006A6170" w:rsidP="003D10AD">
      <w:pPr>
        <w:pStyle w:val="PargrafodaLista"/>
        <w:numPr>
          <w:ilvl w:val="0"/>
          <w:numId w:val="6"/>
        </w:numPr>
        <w:spacing w:after="0"/>
        <w:ind w:right="441"/>
        <w:jc w:val="both"/>
      </w:pPr>
      <w:r>
        <w:lastRenderedPageBreak/>
        <w:t xml:space="preserve">Tabela </w:t>
      </w:r>
      <w:r w:rsidR="0069632D">
        <w:t>2</w:t>
      </w:r>
      <w:r>
        <w:t xml:space="preserve"> – ESPECIFICAÇÃO - </w:t>
      </w:r>
      <w:r w:rsidRPr="006A6170">
        <w:t xml:space="preserve">ESPECIFICAÇÃO DAS DESTINAÇÕES DE RECURSOS </w:t>
      </w:r>
      <w:r>
        <w:t>–</w:t>
      </w:r>
      <w:r w:rsidRPr="006A6170">
        <w:t xml:space="preserve"> PRIMÁRIAS</w:t>
      </w:r>
      <w:r w:rsidR="0069632D">
        <w:t xml:space="preserve"> e </w:t>
      </w:r>
      <w:r w:rsidR="0069632D" w:rsidRPr="0069632D">
        <w:t>ESPECIFICAÇÃO DAS DESTINAÇÕES DE RECURSOS - NÃO PRIMÁRIAS</w:t>
      </w:r>
      <w:r>
        <w:t xml:space="preserve">, composto por 3 dígitos. </w:t>
      </w:r>
    </w:p>
    <w:p w:rsidR="006A6170" w:rsidRDefault="0069632D" w:rsidP="003D10AD">
      <w:pPr>
        <w:pStyle w:val="PargrafodaLista"/>
        <w:numPr>
          <w:ilvl w:val="0"/>
          <w:numId w:val="6"/>
        </w:numPr>
        <w:spacing w:after="0"/>
        <w:ind w:right="441"/>
        <w:jc w:val="both"/>
      </w:pPr>
      <w:r>
        <w:t xml:space="preserve">Tabela 3 – </w:t>
      </w:r>
      <w:r w:rsidRPr="0069632D">
        <w:t>DETALHAMENTO</w:t>
      </w:r>
      <w:r>
        <w:t xml:space="preserve"> - </w:t>
      </w:r>
      <w:r w:rsidRPr="0069632D">
        <w:t>DETALHAMENTO DAS DESTINAÇÕES DE RECURSOS</w:t>
      </w:r>
      <w:r w:rsidR="00076E84">
        <w:t>.</w:t>
      </w:r>
    </w:p>
    <w:p w:rsidR="00076E84" w:rsidRDefault="00076E84" w:rsidP="00076E84">
      <w:pPr>
        <w:spacing w:after="0"/>
        <w:ind w:left="1701" w:right="441"/>
        <w:jc w:val="both"/>
      </w:pPr>
    </w:p>
    <w:p w:rsidR="00887F38" w:rsidRDefault="00887F38" w:rsidP="00887F38">
      <w:pPr>
        <w:spacing w:after="0"/>
        <w:ind w:right="441"/>
        <w:jc w:val="center"/>
      </w:pPr>
      <w:r>
        <w:t xml:space="preserve">CAPÍTULO </w:t>
      </w:r>
      <w:r>
        <w:t>V</w:t>
      </w:r>
      <w:r>
        <w:t>I</w:t>
      </w:r>
    </w:p>
    <w:p w:rsidR="00887F38" w:rsidRDefault="00E733F0" w:rsidP="00887F38">
      <w:pPr>
        <w:spacing w:after="0"/>
        <w:ind w:right="441"/>
        <w:jc w:val="center"/>
      </w:pPr>
      <w:r>
        <w:t xml:space="preserve">DOS </w:t>
      </w:r>
      <w:r w:rsidR="00887F38">
        <w:t>PROCEDIMENTOS</w:t>
      </w:r>
    </w:p>
    <w:p w:rsidR="00887F38" w:rsidRDefault="00887F38" w:rsidP="00076E84">
      <w:pPr>
        <w:spacing w:after="0"/>
        <w:ind w:left="1701" w:right="441"/>
        <w:jc w:val="both"/>
      </w:pPr>
    </w:p>
    <w:p w:rsidR="00194AA4" w:rsidRDefault="0058226E" w:rsidP="004C4011">
      <w:pPr>
        <w:spacing w:after="0"/>
        <w:ind w:right="441" w:firstLine="1701"/>
        <w:jc w:val="both"/>
      </w:pPr>
      <w:r>
        <w:t xml:space="preserve">Art. 2º </w:t>
      </w:r>
      <w:r w:rsidR="000F39DE">
        <w:t xml:space="preserve">Uma despesa só poderá ser planejada, orçada e executada quando houver uma fonte de recursos </w:t>
      </w:r>
      <w:r w:rsidR="00D10E55">
        <w:t>prevista ou realizada, com a mesma codificação.</w:t>
      </w:r>
    </w:p>
    <w:p w:rsidR="00716A9F" w:rsidRDefault="00716A9F" w:rsidP="004C4011">
      <w:pPr>
        <w:spacing w:after="0"/>
        <w:ind w:right="441" w:firstLine="1701"/>
        <w:jc w:val="both"/>
      </w:pPr>
    </w:p>
    <w:p w:rsidR="00C06C62" w:rsidRDefault="00D10E55" w:rsidP="00AF6B60">
      <w:pPr>
        <w:spacing w:after="0"/>
        <w:ind w:right="441" w:firstLine="1701"/>
        <w:jc w:val="both"/>
      </w:pPr>
      <w:r>
        <w:t xml:space="preserve">Art. 3º </w:t>
      </w:r>
      <w:r w:rsidR="00741233">
        <w:t xml:space="preserve">Será permitido que se efetue a previsão e depois a realização de uma receita, considerando os percentuais das fontes de recuros planejadas e </w:t>
      </w:r>
      <w:r w:rsidR="004C6684">
        <w:t>previstas</w:t>
      </w:r>
      <w:r w:rsidR="00716A9F">
        <w:t xml:space="preserve">, </w:t>
      </w:r>
      <w:r w:rsidR="005A1937">
        <w:t xml:space="preserve">para uma determinada receita, sem a necessidade de efetuar vários lançamentos manualmente, </w:t>
      </w:r>
      <w:r w:rsidR="00C06C62">
        <w:t xml:space="preserve">conforme </w:t>
      </w:r>
      <w:r w:rsidR="004C6684">
        <w:t xml:space="preserve">exemplo </w:t>
      </w:r>
      <w:r w:rsidR="00C06C62">
        <w:t>abaixo:</w:t>
      </w:r>
    </w:p>
    <w:p w:rsidR="00AF6B60" w:rsidRPr="004C6684" w:rsidRDefault="00AF6B60" w:rsidP="00AF6B60">
      <w:pPr>
        <w:spacing w:after="0"/>
        <w:ind w:right="441" w:firstLine="1701"/>
        <w:jc w:val="both"/>
        <w:rPr>
          <w:rFonts w:eastAsia="Times New Roman" w:cstheme="minorHAnsi"/>
          <w:color w:val="222222"/>
          <w:lang w:eastAsia="pt-BR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2"/>
        <w:gridCol w:w="5651"/>
        <w:gridCol w:w="1701"/>
        <w:gridCol w:w="1286"/>
      </w:tblGrid>
      <w:tr w:rsidR="009409CE" w:rsidRPr="009409CE" w:rsidTr="00D64823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E" w:rsidRPr="009409CE" w:rsidRDefault="009409CE" w:rsidP="009409CE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lang w:eastAsia="pt-BR"/>
              </w:rPr>
            </w:pPr>
            <w:r w:rsidRPr="009409CE">
              <w:rPr>
                <w:rFonts w:eastAsia="Times New Roman" w:cstheme="minorHAnsi"/>
                <w:b/>
                <w:bCs/>
                <w:color w:val="222222"/>
                <w:lang w:eastAsia="pt-BR"/>
              </w:rPr>
              <w:t>Receita 171801210000 – Fundo de Participação dos Municípios – FPM R$ 100.000,00</w:t>
            </w:r>
          </w:p>
        </w:tc>
      </w:tr>
      <w:tr w:rsidR="00564D90" w:rsidRPr="009F7C9B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90" w:rsidRPr="009F7C9B" w:rsidRDefault="00564D90" w:rsidP="00564D90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Fonte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0" w:rsidRPr="009F7C9B" w:rsidRDefault="00564D90" w:rsidP="00564D90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90" w:rsidRPr="009F7C9B" w:rsidRDefault="00564D90" w:rsidP="00564D90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Percentual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90" w:rsidRPr="009F7C9B" w:rsidRDefault="00564D90" w:rsidP="00564D90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Valor</w:t>
            </w:r>
          </w:p>
        </w:tc>
      </w:tr>
      <w:tr w:rsidR="00564D90" w:rsidRPr="009F7C9B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90" w:rsidRPr="009F7C9B" w:rsidRDefault="00564D90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01.000.0000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0" w:rsidRPr="009F7C9B" w:rsidRDefault="0029413C" w:rsidP="00564D90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Recursos Ordinários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90" w:rsidRPr="009F7C9B" w:rsidRDefault="007F2F8C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54</w:t>
            </w:r>
            <w:r w:rsidR="00564D90"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,00%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90" w:rsidRPr="009F7C9B" w:rsidRDefault="007F2F8C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54</w:t>
            </w:r>
            <w:r w:rsidR="00564D90"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.000,00</w:t>
            </w:r>
          </w:p>
        </w:tc>
      </w:tr>
      <w:tr w:rsidR="00564D90" w:rsidRPr="009F7C9B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90" w:rsidRPr="009F7C9B" w:rsidRDefault="00564D90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01.001.0046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0" w:rsidRPr="009F7C9B" w:rsidRDefault="00316A5A" w:rsidP="00564D90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Recursos da Educ. no Ensino Fundamental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90" w:rsidRPr="009F7C9B" w:rsidRDefault="00564D90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6,00%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90" w:rsidRPr="009F7C9B" w:rsidRDefault="00564D90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6.000,00</w:t>
            </w:r>
          </w:p>
        </w:tc>
      </w:tr>
      <w:tr w:rsidR="00564D90" w:rsidRPr="009F7C9B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90" w:rsidRPr="009F7C9B" w:rsidRDefault="00564D90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01.001.0067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0" w:rsidRPr="009F7C9B" w:rsidRDefault="00F72667" w:rsidP="00564D90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Educação de Jovens e Adultos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90" w:rsidRPr="009F7C9B" w:rsidRDefault="00564D90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5,00%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90" w:rsidRPr="009F7C9B" w:rsidRDefault="00564D90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5.000,00</w:t>
            </w:r>
          </w:p>
        </w:tc>
      </w:tr>
      <w:tr w:rsidR="00DD7366" w:rsidRPr="009F7C9B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66" w:rsidRPr="009F7C9B" w:rsidRDefault="00DD7366" w:rsidP="00DD7366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01.001.0075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66" w:rsidRPr="009F7C9B" w:rsidRDefault="00DD7366" w:rsidP="00DD7366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66" w:rsidRPr="009F7C9B" w:rsidRDefault="00DD7366" w:rsidP="00DD7366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1</w:t>
            </w:r>
            <w:r w:rsidR="007F2F8C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3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,00%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66" w:rsidRPr="009F7C9B" w:rsidRDefault="00DD7366" w:rsidP="00DD7366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1</w:t>
            </w:r>
            <w:r w:rsidR="007F2F8C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3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.000,00</w:t>
            </w:r>
          </w:p>
        </w:tc>
      </w:tr>
      <w:tr w:rsidR="00DD7366" w:rsidRPr="009F7C9B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66" w:rsidRPr="009F7C9B" w:rsidRDefault="00DD7366" w:rsidP="00DD7366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01.001.0080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66" w:rsidRPr="009F7C9B" w:rsidRDefault="00DD7366" w:rsidP="00DD7366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Creche – Despesas Custeadas com outros recursos de impostos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66" w:rsidRPr="009F7C9B" w:rsidRDefault="00DD7366" w:rsidP="00DD7366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2,00%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66" w:rsidRPr="009F7C9B" w:rsidRDefault="00DD7366" w:rsidP="00DD7366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2.000,00</w:t>
            </w:r>
          </w:p>
        </w:tc>
      </w:tr>
      <w:tr w:rsidR="00DD7366" w:rsidRPr="009F7C9B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66" w:rsidRPr="009F7C9B" w:rsidRDefault="00DD7366" w:rsidP="00DD7366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01.001.0083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66" w:rsidRPr="009F7C9B" w:rsidRDefault="00DD7366" w:rsidP="00DD7366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Pré-escola – Despesas Custeadas com outros recursos de impostos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66" w:rsidRPr="009F7C9B" w:rsidRDefault="00DD7366" w:rsidP="00DD7366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2,00%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66" w:rsidRPr="009F7C9B" w:rsidRDefault="00DD7366" w:rsidP="00DD7366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2.000,00</w:t>
            </w:r>
          </w:p>
        </w:tc>
      </w:tr>
      <w:tr w:rsidR="00DD7366" w:rsidRPr="009F7C9B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66" w:rsidRPr="009F7C9B" w:rsidRDefault="00DD7366" w:rsidP="00DD7366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01.002.0047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66" w:rsidRPr="009F7C9B" w:rsidRDefault="00DD7366" w:rsidP="00DD7366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Recursos de Ações e Serviços de Saúde – Aplicação Direta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66" w:rsidRPr="009F7C9B" w:rsidRDefault="00DD7366" w:rsidP="00DD7366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1</w:t>
            </w:r>
            <w:r w:rsidR="0014780C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8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,00%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66" w:rsidRPr="009F7C9B" w:rsidRDefault="00DD7366" w:rsidP="00DD7366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1</w:t>
            </w:r>
            <w:r w:rsidR="007F2F8C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8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.000,00</w:t>
            </w:r>
          </w:p>
        </w:tc>
      </w:tr>
      <w:tr w:rsidR="00DD7366" w:rsidRPr="009409CE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66" w:rsidRPr="009409CE" w:rsidRDefault="00DD7366" w:rsidP="00DD7366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66" w:rsidRPr="009409CE" w:rsidRDefault="00DD7366" w:rsidP="00DD7366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9409CE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66" w:rsidRPr="009409CE" w:rsidRDefault="00DD7366" w:rsidP="00DD7366">
            <w:pPr>
              <w:jc w:val="right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9409CE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100.000,00</w:t>
            </w:r>
          </w:p>
        </w:tc>
      </w:tr>
    </w:tbl>
    <w:p w:rsidR="00C06C62" w:rsidRDefault="00C06C62" w:rsidP="00C06C62">
      <w:pPr>
        <w:spacing w:after="0"/>
        <w:ind w:right="441"/>
        <w:jc w:val="both"/>
        <w:rPr>
          <w:rFonts w:cstheme="minorHAnsi"/>
        </w:rPr>
      </w:pPr>
    </w:p>
    <w:p w:rsidR="00376B21" w:rsidRDefault="00376B21" w:rsidP="00376B21">
      <w:pPr>
        <w:spacing w:after="0"/>
        <w:ind w:right="441" w:firstLine="1701"/>
        <w:jc w:val="both"/>
      </w:pPr>
      <w:r>
        <w:t xml:space="preserve">Art. </w:t>
      </w:r>
      <w:r>
        <w:t>4</w:t>
      </w:r>
      <w:r>
        <w:t xml:space="preserve">º </w:t>
      </w:r>
      <w:r>
        <w:t xml:space="preserve">As despesas planejadas ou orçadas deverão </w:t>
      </w:r>
      <w:r w:rsidR="003F02AE">
        <w:t>ser igauis as receitas planejadas ou previstas, consequentemente</w:t>
      </w:r>
      <w:r w:rsidR="00735196">
        <w:t>,</w:t>
      </w:r>
      <w:r w:rsidR="003F02AE">
        <w:t xml:space="preserve"> a execução da despesa só poderá ser efetuadas quando houver </w:t>
      </w:r>
      <w:r w:rsidR="00735196">
        <w:t xml:space="preserve">receita prevista da referida fonte de recursos, </w:t>
      </w:r>
      <w:r w:rsidR="00867DCB">
        <w:t xml:space="preserve">conforme disponibiliza o </w:t>
      </w:r>
      <w:r w:rsidR="00867DCB">
        <w:t>ANEXO III – MODELO DE UTILIZAÇÃO DA DESTINAÇÃO DE RECURSOS NA LDO DOS MUNICÍPIOS</w:t>
      </w:r>
      <w:r w:rsidR="00867DCB">
        <w:t>, do MANUAL DE RECEITA PÚBLICA disponibilizado pela STN, conforme exemplo abaixo:</w:t>
      </w:r>
    </w:p>
    <w:p w:rsidR="00867DCB" w:rsidRDefault="00867DCB" w:rsidP="00867DCB">
      <w:pPr>
        <w:spacing w:after="0"/>
        <w:ind w:right="44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3621"/>
        <w:gridCol w:w="1067"/>
      </w:tblGrid>
      <w:tr w:rsidR="00750CE2" w:rsidRPr="009409CE" w:rsidTr="00C24B78">
        <w:tc>
          <w:tcPr>
            <w:tcW w:w="10070" w:type="dxa"/>
            <w:gridSpan w:val="4"/>
          </w:tcPr>
          <w:p w:rsidR="00750CE2" w:rsidRPr="009409CE" w:rsidRDefault="00750CE2" w:rsidP="00750CE2">
            <w:pPr>
              <w:ind w:right="441"/>
              <w:jc w:val="center"/>
              <w:rPr>
                <w:rFonts w:cstheme="minorHAnsi"/>
                <w:b/>
                <w:bCs/>
              </w:rPr>
            </w:pPr>
            <w:r w:rsidRPr="009409CE">
              <w:rPr>
                <w:b/>
                <w:bCs/>
              </w:rPr>
              <w:t>DEMONSTRATIVO DA ORIGEM E DESTINAÇÃO DOS RECURSOS</w:t>
            </w:r>
          </w:p>
        </w:tc>
      </w:tr>
      <w:tr w:rsidR="0024772B" w:rsidRPr="009409CE" w:rsidTr="0024772B">
        <w:tc>
          <w:tcPr>
            <w:tcW w:w="5382" w:type="dxa"/>
            <w:gridSpan w:val="2"/>
          </w:tcPr>
          <w:p w:rsidR="00750CE2" w:rsidRPr="009409CE" w:rsidRDefault="00750CE2" w:rsidP="009409CE">
            <w:pPr>
              <w:ind w:right="441"/>
              <w:jc w:val="center"/>
              <w:rPr>
                <w:rFonts w:cstheme="minorHAnsi"/>
                <w:b/>
                <w:bCs/>
              </w:rPr>
            </w:pPr>
            <w:r w:rsidRPr="009409CE">
              <w:rPr>
                <w:rFonts w:cstheme="minorHAnsi"/>
                <w:b/>
                <w:bCs/>
              </w:rPr>
              <w:t>ORIGEM</w:t>
            </w:r>
          </w:p>
        </w:tc>
        <w:tc>
          <w:tcPr>
            <w:tcW w:w="4688" w:type="dxa"/>
            <w:gridSpan w:val="2"/>
          </w:tcPr>
          <w:p w:rsidR="00750CE2" w:rsidRPr="009409CE" w:rsidRDefault="00750CE2" w:rsidP="009409CE">
            <w:pPr>
              <w:ind w:right="441"/>
              <w:jc w:val="center"/>
              <w:rPr>
                <w:rFonts w:cstheme="minorHAnsi"/>
                <w:b/>
                <w:bCs/>
              </w:rPr>
            </w:pPr>
            <w:r w:rsidRPr="009409CE">
              <w:rPr>
                <w:rFonts w:cstheme="minorHAnsi"/>
                <w:b/>
                <w:bCs/>
              </w:rPr>
              <w:t>DESTINAÇÃO</w:t>
            </w:r>
          </w:p>
        </w:tc>
      </w:tr>
      <w:tr w:rsidR="00C0144B" w:rsidRPr="009F7C9B" w:rsidTr="0024772B">
        <w:tc>
          <w:tcPr>
            <w:tcW w:w="4390" w:type="dxa"/>
            <w:vMerge w:val="restart"/>
          </w:tcPr>
          <w:p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 w:rsidRPr="009F7C9B">
              <w:rPr>
                <w:rFonts w:cstheme="minorHAnsi"/>
                <w:sz w:val="16"/>
                <w:szCs w:val="16"/>
              </w:rPr>
              <w:t>01.000.0000 – Recursos Ordinários</w:t>
            </w:r>
          </w:p>
        </w:tc>
        <w:tc>
          <w:tcPr>
            <w:tcW w:w="992" w:type="dxa"/>
          </w:tcPr>
          <w:p w:rsidR="00C0144B" w:rsidRPr="009F7C9B" w:rsidRDefault="00C0144B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54.000,00</w:t>
            </w:r>
          </w:p>
        </w:tc>
        <w:tc>
          <w:tcPr>
            <w:tcW w:w="3621" w:type="dxa"/>
          </w:tcPr>
          <w:p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 w:rsidRPr="009F7C9B">
              <w:rPr>
                <w:rFonts w:cstheme="minorHAnsi"/>
                <w:sz w:val="16"/>
                <w:szCs w:val="16"/>
              </w:rPr>
              <w:t>Manutenção da Câmara Municipal</w:t>
            </w:r>
          </w:p>
        </w:tc>
        <w:tc>
          <w:tcPr>
            <w:tcW w:w="1067" w:type="dxa"/>
          </w:tcPr>
          <w:p w:rsidR="00C0144B" w:rsidRPr="009F7C9B" w:rsidRDefault="00C0144B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9F7C9B">
              <w:rPr>
                <w:rFonts w:cstheme="minorHAnsi"/>
                <w:sz w:val="16"/>
                <w:szCs w:val="16"/>
              </w:rPr>
              <w:t>.000,00</w:t>
            </w:r>
          </w:p>
        </w:tc>
      </w:tr>
      <w:tr w:rsidR="00C0144B" w:rsidRPr="009F7C9B" w:rsidTr="0024772B">
        <w:tc>
          <w:tcPr>
            <w:tcW w:w="4390" w:type="dxa"/>
            <w:vMerge/>
          </w:tcPr>
          <w:p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44B" w:rsidRPr="009F7C9B" w:rsidRDefault="00C0144B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1" w:type="dxa"/>
          </w:tcPr>
          <w:p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do Gabinete do Prefeito</w:t>
            </w:r>
          </w:p>
        </w:tc>
        <w:tc>
          <w:tcPr>
            <w:tcW w:w="1067" w:type="dxa"/>
          </w:tcPr>
          <w:p w:rsidR="00C0144B" w:rsidRPr="009F7C9B" w:rsidRDefault="00C0144B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8.000,00</w:t>
            </w:r>
          </w:p>
        </w:tc>
      </w:tr>
      <w:tr w:rsidR="00C0144B" w:rsidRPr="009F7C9B" w:rsidTr="0024772B">
        <w:tc>
          <w:tcPr>
            <w:tcW w:w="4390" w:type="dxa"/>
            <w:vMerge/>
          </w:tcPr>
          <w:p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44B" w:rsidRPr="009F7C9B" w:rsidRDefault="00C0144B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1" w:type="dxa"/>
          </w:tcPr>
          <w:p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da Administração do Municipio</w:t>
            </w:r>
          </w:p>
        </w:tc>
        <w:tc>
          <w:tcPr>
            <w:tcW w:w="1067" w:type="dxa"/>
          </w:tcPr>
          <w:p w:rsidR="00C0144B" w:rsidRPr="009F7C9B" w:rsidRDefault="00C0144B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31.000,00</w:t>
            </w:r>
          </w:p>
        </w:tc>
      </w:tr>
      <w:tr w:rsidR="00C0144B" w:rsidRPr="009F7C9B" w:rsidTr="0024772B">
        <w:tc>
          <w:tcPr>
            <w:tcW w:w="4390" w:type="dxa"/>
            <w:vMerge/>
          </w:tcPr>
          <w:p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44B" w:rsidRPr="009F7C9B" w:rsidRDefault="00C0144B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1" w:type="dxa"/>
          </w:tcPr>
          <w:p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dos serviços públicos municipais</w:t>
            </w:r>
          </w:p>
        </w:tc>
        <w:tc>
          <w:tcPr>
            <w:tcW w:w="1067" w:type="dxa"/>
          </w:tcPr>
          <w:p w:rsidR="00C0144B" w:rsidRPr="009F7C9B" w:rsidRDefault="00C0144B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9.000,00</w:t>
            </w:r>
          </w:p>
        </w:tc>
      </w:tr>
      <w:tr w:rsidR="00C0144B" w:rsidRPr="009F7C9B" w:rsidTr="0024772B">
        <w:tc>
          <w:tcPr>
            <w:tcW w:w="4390" w:type="dxa"/>
            <w:vMerge/>
          </w:tcPr>
          <w:p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44B" w:rsidRPr="009F7C9B" w:rsidRDefault="00C0144B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1" w:type="dxa"/>
          </w:tcPr>
          <w:p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Manutençaõ dos serviços de Agricultura</w:t>
            </w:r>
          </w:p>
        </w:tc>
        <w:tc>
          <w:tcPr>
            <w:tcW w:w="1067" w:type="dxa"/>
          </w:tcPr>
          <w:p w:rsidR="00C0144B" w:rsidRPr="009F7C9B" w:rsidRDefault="00C0144B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2.000,00</w:t>
            </w:r>
          </w:p>
        </w:tc>
      </w:tr>
      <w:tr w:rsidR="009409CE" w:rsidRPr="009F7C9B" w:rsidTr="0024772B">
        <w:tc>
          <w:tcPr>
            <w:tcW w:w="4390" w:type="dxa"/>
          </w:tcPr>
          <w:p w:rsidR="009409CE" w:rsidRPr="009F7C9B" w:rsidRDefault="001408E2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01.001.0046 - 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Recursos da Educ. no Ensino Fundamental</w:t>
            </w:r>
          </w:p>
        </w:tc>
        <w:tc>
          <w:tcPr>
            <w:tcW w:w="992" w:type="dxa"/>
          </w:tcPr>
          <w:p w:rsidR="009409CE" w:rsidRPr="009F7C9B" w:rsidRDefault="0014780C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6.000,00</w:t>
            </w:r>
          </w:p>
        </w:tc>
        <w:tc>
          <w:tcPr>
            <w:tcW w:w="3621" w:type="dxa"/>
          </w:tcPr>
          <w:p w:rsidR="009409CE" w:rsidRPr="009F7C9B" w:rsidRDefault="00020F67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Manutenção </w:t>
            </w:r>
            <w:r w:rsidR="00E41793">
              <w:rPr>
                <w:rFonts w:cstheme="minorHAnsi"/>
                <w:sz w:val="16"/>
                <w:szCs w:val="16"/>
              </w:rPr>
              <w:t>d</w:t>
            </w:r>
            <w:r w:rsidR="005E27A6">
              <w:rPr>
                <w:rFonts w:cstheme="minorHAnsi"/>
                <w:sz w:val="16"/>
                <w:szCs w:val="16"/>
              </w:rPr>
              <w:t xml:space="preserve">a Secretaria </w:t>
            </w:r>
            <w:r w:rsidR="00E41793">
              <w:rPr>
                <w:rFonts w:cstheme="minorHAnsi"/>
                <w:sz w:val="16"/>
                <w:szCs w:val="16"/>
              </w:rPr>
              <w:t xml:space="preserve">Ensino </w:t>
            </w:r>
            <w:r w:rsidR="005E27A6">
              <w:rPr>
                <w:rFonts w:cstheme="minorHAnsi"/>
                <w:sz w:val="16"/>
                <w:szCs w:val="16"/>
              </w:rPr>
              <w:t>Básico</w:t>
            </w:r>
          </w:p>
        </w:tc>
        <w:tc>
          <w:tcPr>
            <w:tcW w:w="1067" w:type="dxa"/>
          </w:tcPr>
          <w:p w:rsidR="009409CE" w:rsidRPr="009F7C9B" w:rsidRDefault="00E41793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6.000,00</w:t>
            </w:r>
          </w:p>
        </w:tc>
      </w:tr>
      <w:tr w:rsidR="001408E2" w:rsidRPr="009F7C9B" w:rsidTr="0024772B">
        <w:tc>
          <w:tcPr>
            <w:tcW w:w="4390" w:type="dxa"/>
          </w:tcPr>
          <w:p w:rsidR="001408E2" w:rsidRPr="009F7C9B" w:rsidRDefault="00E41793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01.001.0067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 xml:space="preserve"> - 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Educação de Jovens e Adultos</w:t>
            </w:r>
          </w:p>
        </w:tc>
        <w:tc>
          <w:tcPr>
            <w:tcW w:w="992" w:type="dxa"/>
          </w:tcPr>
          <w:p w:rsidR="001408E2" w:rsidRPr="009F7C9B" w:rsidRDefault="0024772B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5.000,00</w:t>
            </w:r>
          </w:p>
        </w:tc>
        <w:tc>
          <w:tcPr>
            <w:tcW w:w="3621" w:type="dxa"/>
          </w:tcPr>
          <w:p w:rsidR="001408E2" w:rsidRPr="009F7C9B" w:rsidRDefault="0024772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do Ensino de Joves e Adultos</w:t>
            </w:r>
          </w:p>
        </w:tc>
        <w:tc>
          <w:tcPr>
            <w:tcW w:w="1067" w:type="dxa"/>
          </w:tcPr>
          <w:p w:rsidR="001408E2" w:rsidRPr="009F7C9B" w:rsidRDefault="0024772B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5.000,00</w:t>
            </w:r>
          </w:p>
        </w:tc>
      </w:tr>
      <w:tr w:rsidR="001408E2" w:rsidRPr="009F7C9B" w:rsidTr="0024772B">
        <w:tc>
          <w:tcPr>
            <w:tcW w:w="4390" w:type="dxa"/>
          </w:tcPr>
          <w:p w:rsidR="001408E2" w:rsidRPr="009F7C9B" w:rsidRDefault="0024772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01.001.0075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 xml:space="preserve"> - </w:t>
            </w:r>
            <w:r w:rsidR="005E27A6"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992" w:type="dxa"/>
          </w:tcPr>
          <w:p w:rsidR="001408E2" w:rsidRPr="009F7C9B" w:rsidRDefault="005E27A6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13.000,00</w:t>
            </w:r>
          </w:p>
        </w:tc>
        <w:tc>
          <w:tcPr>
            <w:tcW w:w="3621" w:type="dxa"/>
          </w:tcPr>
          <w:p w:rsidR="001408E2" w:rsidRPr="009F7C9B" w:rsidRDefault="00966791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do Ensino Fundamental</w:t>
            </w:r>
          </w:p>
        </w:tc>
        <w:tc>
          <w:tcPr>
            <w:tcW w:w="1067" w:type="dxa"/>
          </w:tcPr>
          <w:p w:rsidR="001408E2" w:rsidRPr="009F7C9B" w:rsidRDefault="00966791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13.000,00</w:t>
            </w:r>
          </w:p>
        </w:tc>
      </w:tr>
      <w:tr w:rsidR="001408E2" w:rsidRPr="009F7C9B" w:rsidTr="0024772B">
        <w:tc>
          <w:tcPr>
            <w:tcW w:w="4390" w:type="dxa"/>
          </w:tcPr>
          <w:p w:rsidR="001408E2" w:rsidRPr="009F7C9B" w:rsidRDefault="00966791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01.001.0080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 xml:space="preserve"> - 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Creche – Despesas Custeadas com impostos</w:t>
            </w:r>
          </w:p>
        </w:tc>
        <w:tc>
          <w:tcPr>
            <w:tcW w:w="992" w:type="dxa"/>
          </w:tcPr>
          <w:p w:rsidR="001408E2" w:rsidRPr="009F7C9B" w:rsidRDefault="00966791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2.000,00</w:t>
            </w:r>
          </w:p>
        </w:tc>
        <w:tc>
          <w:tcPr>
            <w:tcW w:w="3621" w:type="dxa"/>
          </w:tcPr>
          <w:p w:rsidR="001408E2" w:rsidRPr="009F7C9B" w:rsidRDefault="00966791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da Creche Municipal</w:t>
            </w:r>
          </w:p>
        </w:tc>
        <w:tc>
          <w:tcPr>
            <w:tcW w:w="1067" w:type="dxa"/>
          </w:tcPr>
          <w:p w:rsidR="001408E2" w:rsidRPr="009F7C9B" w:rsidRDefault="00966791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2.000,00</w:t>
            </w:r>
          </w:p>
        </w:tc>
      </w:tr>
      <w:tr w:rsidR="00966791" w:rsidRPr="009F7C9B" w:rsidTr="0024772B">
        <w:tc>
          <w:tcPr>
            <w:tcW w:w="4390" w:type="dxa"/>
          </w:tcPr>
          <w:p w:rsidR="00966791" w:rsidRPr="009F7C9B" w:rsidRDefault="00FA619A" w:rsidP="00FA619A">
            <w:pPr>
              <w:ind w:right="174"/>
              <w:jc w:val="both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 xml:space="preserve">01.001.0083 - 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Pré-escola – Despesas Custeadas com impostos</w:t>
            </w:r>
          </w:p>
        </w:tc>
        <w:tc>
          <w:tcPr>
            <w:tcW w:w="992" w:type="dxa"/>
          </w:tcPr>
          <w:p w:rsidR="00966791" w:rsidRDefault="00C4217C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2.000,00</w:t>
            </w:r>
          </w:p>
        </w:tc>
        <w:tc>
          <w:tcPr>
            <w:tcW w:w="3621" w:type="dxa"/>
          </w:tcPr>
          <w:p w:rsidR="00966791" w:rsidRDefault="00C4217C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da Pré-Escola</w:t>
            </w:r>
          </w:p>
        </w:tc>
        <w:tc>
          <w:tcPr>
            <w:tcW w:w="1067" w:type="dxa"/>
          </w:tcPr>
          <w:p w:rsidR="00966791" w:rsidRDefault="00C4217C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2.000,00</w:t>
            </w:r>
          </w:p>
        </w:tc>
      </w:tr>
      <w:tr w:rsidR="00C0144B" w:rsidRPr="009F7C9B" w:rsidTr="0024772B">
        <w:tc>
          <w:tcPr>
            <w:tcW w:w="4390" w:type="dxa"/>
            <w:vMerge w:val="restart"/>
          </w:tcPr>
          <w:p w:rsidR="00C0144B" w:rsidRDefault="00C0144B" w:rsidP="00FA619A">
            <w:pPr>
              <w:ind w:right="174"/>
              <w:jc w:val="both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 xml:space="preserve">01.002.0047 - 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 xml:space="preserve">Recursos de 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ASPS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 xml:space="preserve"> – Aplicação Direta</w:t>
            </w:r>
          </w:p>
        </w:tc>
        <w:tc>
          <w:tcPr>
            <w:tcW w:w="992" w:type="dxa"/>
          </w:tcPr>
          <w:p w:rsidR="00C0144B" w:rsidRDefault="00C0144B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18.000,00</w:t>
            </w:r>
          </w:p>
        </w:tc>
        <w:tc>
          <w:tcPr>
            <w:tcW w:w="3621" w:type="dxa"/>
          </w:tcPr>
          <w:p w:rsidR="00C0144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Secretaria de Saúde</w:t>
            </w:r>
          </w:p>
        </w:tc>
        <w:tc>
          <w:tcPr>
            <w:tcW w:w="1067" w:type="dxa"/>
          </w:tcPr>
          <w:p w:rsidR="00C0144B" w:rsidRDefault="00C0144B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10.000,00</w:t>
            </w:r>
          </w:p>
        </w:tc>
      </w:tr>
      <w:tr w:rsidR="00C0144B" w:rsidRPr="009F7C9B" w:rsidTr="0024772B">
        <w:tc>
          <w:tcPr>
            <w:tcW w:w="4390" w:type="dxa"/>
            <w:vMerge/>
          </w:tcPr>
          <w:p w:rsidR="00C0144B" w:rsidRDefault="00C0144B" w:rsidP="00FA619A">
            <w:pPr>
              <w:ind w:right="174"/>
              <w:jc w:val="both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0144B" w:rsidRDefault="00C0144B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1" w:type="dxa"/>
          </w:tcPr>
          <w:p w:rsidR="00C0144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do Hospital Municipal</w:t>
            </w:r>
          </w:p>
        </w:tc>
        <w:tc>
          <w:tcPr>
            <w:tcW w:w="1067" w:type="dxa"/>
          </w:tcPr>
          <w:p w:rsidR="00C0144B" w:rsidRDefault="00C0144B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8.000,00</w:t>
            </w:r>
          </w:p>
        </w:tc>
      </w:tr>
      <w:tr w:rsidR="00E017BB" w:rsidRPr="00E017BB" w:rsidTr="0024772B">
        <w:tc>
          <w:tcPr>
            <w:tcW w:w="4390" w:type="dxa"/>
          </w:tcPr>
          <w:p w:rsidR="00E017BB" w:rsidRPr="00E017BB" w:rsidRDefault="00E017BB" w:rsidP="00E017BB">
            <w:pPr>
              <w:ind w:right="174"/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E017BB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992" w:type="dxa"/>
          </w:tcPr>
          <w:p w:rsidR="00E017BB" w:rsidRPr="00E017BB" w:rsidRDefault="00E017BB" w:rsidP="009F7C9B">
            <w:pPr>
              <w:ind w:right="42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E017BB">
              <w:rPr>
                <w:rFonts w:cstheme="minorHAns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3621" w:type="dxa"/>
          </w:tcPr>
          <w:p w:rsidR="00E017BB" w:rsidRPr="00E017BB" w:rsidRDefault="00E017BB" w:rsidP="00E017BB">
            <w:pPr>
              <w:ind w:right="441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017BB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67" w:type="dxa"/>
          </w:tcPr>
          <w:p w:rsidR="00E017BB" w:rsidRPr="00E017BB" w:rsidRDefault="00E017BB" w:rsidP="009F7C9B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E017BB">
              <w:rPr>
                <w:rFonts w:cstheme="minorHAnsi"/>
                <w:b/>
                <w:bCs/>
                <w:sz w:val="16"/>
                <w:szCs w:val="16"/>
              </w:rPr>
              <w:t>100.000,00</w:t>
            </w:r>
          </w:p>
        </w:tc>
      </w:tr>
    </w:tbl>
    <w:p w:rsidR="00867DCB" w:rsidRPr="004C6684" w:rsidRDefault="00867DCB" w:rsidP="00867DCB">
      <w:pPr>
        <w:spacing w:after="0"/>
        <w:ind w:right="441"/>
        <w:jc w:val="both"/>
        <w:rPr>
          <w:rFonts w:cstheme="minorHAnsi"/>
        </w:rPr>
      </w:pPr>
    </w:p>
    <w:p w:rsidR="00D10E55" w:rsidRDefault="00135D67" w:rsidP="008F0B9E">
      <w:pPr>
        <w:spacing w:after="0"/>
        <w:ind w:right="441" w:firstLine="1701"/>
        <w:jc w:val="both"/>
      </w:pPr>
      <w:r>
        <w:t xml:space="preserve">Art. </w:t>
      </w:r>
      <w:r>
        <w:t>5</w:t>
      </w:r>
      <w:r>
        <w:t xml:space="preserve">º </w:t>
      </w:r>
      <w:r w:rsidR="001101BC">
        <w:t>Caberá ao setor financeiro</w:t>
      </w:r>
      <w:r w:rsidR="008F0B9E">
        <w:t>,</w:t>
      </w:r>
      <w:r w:rsidR="001101BC">
        <w:t xml:space="preserve"> as transferências dos </w:t>
      </w:r>
      <w:r w:rsidR="008F0B9E">
        <w:t xml:space="preserve">percentuais das receitas realizadas, conforme </w:t>
      </w:r>
      <w:r w:rsidR="00050F08">
        <w:t>os valores planejados ou previstos, para aplicações da Educação e Saúde, cujas transferências fina</w:t>
      </w:r>
      <w:r w:rsidR="00B67CE6">
        <w:t xml:space="preserve">nceras deverão ser efetuadas por ocasião da realização da receita e até o 5º (quinto) dia útil do mês subsequente, deverá ser efetuado o levantamento e </w:t>
      </w:r>
      <w:r w:rsidR="00E05F3F">
        <w:t>transferida diferenças caso detectadas, confome planilha abaixo:</w:t>
      </w:r>
    </w:p>
    <w:p w:rsidR="00E05F3F" w:rsidRDefault="00E05F3F" w:rsidP="00E05F3F">
      <w:pPr>
        <w:spacing w:after="0"/>
        <w:ind w:right="441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5524"/>
        <w:gridCol w:w="1418"/>
        <w:gridCol w:w="1711"/>
      </w:tblGrid>
      <w:tr w:rsidR="00E302F8" w:rsidRPr="009409CE" w:rsidTr="006D0985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8" w:rsidRPr="009409CE" w:rsidRDefault="00E302F8" w:rsidP="006D098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pt-BR"/>
              </w:rPr>
              <w:t xml:space="preserve">Receitas realizadas no </w:t>
            </w:r>
            <w:r w:rsidR="00E025AF">
              <w:rPr>
                <w:rFonts w:eastAsia="Times New Roman" w:cstheme="minorHAnsi"/>
                <w:b/>
                <w:bCs/>
                <w:color w:val="222222"/>
                <w:lang w:eastAsia="pt-BR"/>
              </w:rPr>
              <w:t>mês</w:t>
            </w:r>
            <w:r>
              <w:rPr>
                <w:rFonts w:eastAsia="Times New Roman" w:cstheme="minorHAnsi"/>
                <w:b/>
                <w:bCs/>
                <w:color w:val="222222"/>
                <w:lang w:eastAsia="pt-BR"/>
              </w:rPr>
              <w:t xml:space="preserve"> – Por Fonte de recursos Educação e Saúde</w:t>
            </w:r>
          </w:p>
        </w:tc>
      </w:tr>
      <w:tr w:rsidR="00E025AF" w:rsidRPr="009409CE" w:rsidTr="006D0985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AF" w:rsidRDefault="00E025AF" w:rsidP="006D098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pt-BR"/>
              </w:rPr>
              <w:t xml:space="preserve">Deverá ser repassado </w:t>
            </w:r>
            <w:r w:rsidR="00C26E5D">
              <w:rPr>
                <w:rFonts w:eastAsia="Times New Roman" w:cstheme="minorHAnsi"/>
                <w:b/>
                <w:bCs/>
                <w:color w:val="222222"/>
                <w:lang w:eastAsia="pt-BR"/>
              </w:rPr>
              <w:t xml:space="preserve">diariamente e os ajustes </w:t>
            </w:r>
            <w:r>
              <w:rPr>
                <w:rFonts w:eastAsia="Times New Roman" w:cstheme="minorHAnsi"/>
                <w:b/>
                <w:bCs/>
                <w:color w:val="222222"/>
                <w:lang w:eastAsia="pt-BR"/>
              </w:rPr>
              <w:t>até o 5º (quinto) dia útil do mês subsequente.</w:t>
            </w:r>
          </w:p>
        </w:tc>
      </w:tr>
      <w:tr w:rsidR="002D5B83" w:rsidRPr="009F7C9B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Fonte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Percentual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Valor</w:t>
            </w:r>
            <w:r w:rsidR="0020238E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 xml:space="preserve"> a Transferir</w:t>
            </w:r>
          </w:p>
        </w:tc>
      </w:tr>
      <w:tr w:rsidR="00405FB9" w:rsidRPr="00405FB9" w:rsidTr="006D09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9" w:rsidRPr="00405FB9" w:rsidRDefault="00405FB9" w:rsidP="00405FB9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405FB9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01.001.0000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9" w:rsidRPr="00405FB9" w:rsidRDefault="00405FB9" w:rsidP="00405FB9">
            <w:pPr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405FB9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Receitas de Impostos e de Transferência de Impostos – Educação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9" w:rsidRPr="00405FB9" w:rsidRDefault="00405FB9" w:rsidP="00405FB9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405FB9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28,00%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9" w:rsidRPr="00405FB9" w:rsidRDefault="00405FB9" w:rsidP="00405FB9">
            <w:pPr>
              <w:jc w:val="right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405FB9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28.000,00</w:t>
            </w:r>
          </w:p>
        </w:tc>
      </w:tr>
      <w:tr w:rsidR="002D5B83" w:rsidRPr="009F7C9B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01.001.0046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8" w:rsidRPr="009F7C9B" w:rsidRDefault="00E302F8" w:rsidP="006D0985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Recursos da Educ. no Ensino Fundamental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6,00%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6.000,00</w:t>
            </w:r>
          </w:p>
        </w:tc>
      </w:tr>
      <w:tr w:rsidR="002D5B83" w:rsidRPr="009F7C9B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01.001.0067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8" w:rsidRPr="009F7C9B" w:rsidRDefault="00E302F8" w:rsidP="006D0985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Educação de Jovens e Adultos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5,00%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5.000,00</w:t>
            </w:r>
          </w:p>
        </w:tc>
      </w:tr>
      <w:tr w:rsidR="00E302F8" w:rsidRPr="009F7C9B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lastRenderedPageBreak/>
              <w:t>01.001.0075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8" w:rsidRPr="009F7C9B" w:rsidRDefault="00E302F8" w:rsidP="006D0985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1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3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,00%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8" w:rsidRPr="009F7C9B" w:rsidRDefault="00E302F8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1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3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.000,00</w:t>
            </w:r>
          </w:p>
        </w:tc>
      </w:tr>
      <w:tr w:rsidR="002D5B83" w:rsidRPr="009F7C9B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01.001.0080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8" w:rsidRPr="009F7C9B" w:rsidRDefault="00E302F8" w:rsidP="006D0985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Creche – Despesas Custeadas com outros recursos de impostos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2,00%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2.000,00</w:t>
            </w:r>
          </w:p>
        </w:tc>
      </w:tr>
      <w:tr w:rsidR="002D5B83" w:rsidRPr="009F7C9B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01.001.0083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8" w:rsidRPr="009F7C9B" w:rsidRDefault="00E302F8" w:rsidP="006D0985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Pré-escola – Despesas Custeadas com outros recursos de impostos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2,00%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2.000,00</w:t>
            </w:r>
          </w:p>
        </w:tc>
      </w:tr>
      <w:tr w:rsidR="007F6C4A" w:rsidRPr="007F6C4A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4A" w:rsidRPr="007F6C4A" w:rsidRDefault="007F6C4A" w:rsidP="006D0985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7F6C4A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01.002.0000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4A" w:rsidRPr="007F6C4A" w:rsidRDefault="007F6C4A" w:rsidP="006D0985">
            <w:pPr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7F6C4A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Receitas de Impostos e de Transferência de Impostos - Saúde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4A" w:rsidRPr="007F6C4A" w:rsidRDefault="007F6C4A" w:rsidP="006D0985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18,00%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4A" w:rsidRPr="007F6C4A" w:rsidRDefault="007F6C4A" w:rsidP="006D0985">
            <w:pPr>
              <w:jc w:val="right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18.000,00</w:t>
            </w:r>
          </w:p>
        </w:tc>
      </w:tr>
      <w:tr w:rsidR="002D5B83" w:rsidRPr="009F7C9B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01.002.0047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8" w:rsidRPr="009F7C9B" w:rsidRDefault="00E302F8" w:rsidP="006D0985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Recursos de Ações e Serviços de Saúde – Aplicação Direta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1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8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,00%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8" w:rsidRPr="009F7C9B" w:rsidRDefault="00E302F8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1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8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.000,00</w:t>
            </w:r>
          </w:p>
        </w:tc>
      </w:tr>
      <w:tr w:rsidR="00E302F8" w:rsidRPr="009409CE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8" w:rsidRPr="009409CE" w:rsidRDefault="00E302F8" w:rsidP="006D0985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8" w:rsidRPr="009409CE" w:rsidRDefault="00E302F8" w:rsidP="006D0985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9409CE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Total</w:t>
            </w:r>
            <w:r w:rsidR="009872B1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 xml:space="preserve"> </w:t>
            </w:r>
            <w:r w:rsidR="007F6C4A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Geral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8" w:rsidRPr="009409CE" w:rsidRDefault="009872B1" w:rsidP="006D0985">
            <w:pPr>
              <w:jc w:val="right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46.000,00</w:t>
            </w:r>
          </w:p>
        </w:tc>
      </w:tr>
    </w:tbl>
    <w:p w:rsidR="00E302F8" w:rsidRDefault="00E302F8" w:rsidP="00E05F3F">
      <w:pPr>
        <w:spacing w:after="0"/>
        <w:ind w:right="441"/>
        <w:jc w:val="both"/>
      </w:pPr>
    </w:p>
    <w:p w:rsidR="00395320" w:rsidRDefault="00395320" w:rsidP="004C4011">
      <w:pPr>
        <w:spacing w:after="0"/>
        <w:ind w:right="441" w:firstLine="1701"/>
        <w:jc w:val="both"/>
      </w:pPr>
      <w:r>
        <w:t xml:space="preserve">§1º. </w:t>
      </w:r>
      <w:r>
        <w:t xml:space="preserve">No mês de dezembro, as transferências ou repasses deverão ser efetuadas até o último dia </w:t>
      </w:r>
      <w:r w:rsidR="00542036">
        <w:t>do exercício financeiro, para não comprometer as aplicações de educação e sáude, e não gerar déficit orçamentário e consequentemente finaneiro.</w:t>
      </w:r>
    </w:p>
    <w:p w:rsidR="00395320" w:rsidRDefault="00395320" w:rsidP="004C4011">
      <w:pPr>
        <w:spacing w:after="0"/>
        <w:ind w:right="441" w:firstLine="1701"/>
        <w:jc w:val="both"/>
      </w:pPr>
    </w:p>
    <w:p w:rsidR="00135D67" w:rsidRDefault="000531F3" w:rsidP="004C4011">
      <w:pPr>
        <w:spacing w:after="0"/>
        <w:ind w:right="441" w:firstLine="1701"/>
        <w:jc w:val="both"/>
      </w:pPr>
      <w:r>
        <w:t xml:space="preserve">Art. </w:t>
      </w:r>
      <w:r>
        <w:t>6</w:t>
      </w:r>
      <w:r>
        <w:t>º</w:t>
      </w:r>
      <w:r>
        <w:t xml:space="preserve"> Toda a conta bancária deverá ter o apontamento da fonte de recursos que manterá o saldo</w:t>
      </w:r>
      <w:r w:rsidR="009D3999">
        <w:t>.</w:t>
      </w:r>
    </w:p>
    <w:p w:rsidR="00A66624" w:rsidRDefault="009D3999" w:rsidP="004C4011">
      <w:pPr>
        <w:spacing w:after="0"/>
        <w:ind w:right="441" w:firstLine="1701"/>
        <w:jc w:val="both"/>
      </w:pPr>
      <w:r>
        <w:t xml:space="preserve">Art. </w:t>
      </w:r>
      <w:r w:rsidR="00D7181B">
        <w:t>7</w:t>
      </w:r>
      <w:r>
        <w:t xml:space="preserve">º </w:t>
      </w:r>
      <w:r w:rsidR="0086406D">
        <w:t>Em t</w:t>
      </w:r>
      <w:r>
        <w:t>od</w:t>
      </w:r>
      <w:r>
        <w:t xml:space="preserve">os os pagamentos deverão </w:t>
      </w:r>
      <w:r w:rsidR="0086406D">
        <w:t xml:space="preserve">ser </w:t>
      </w:r>
      <w:r>
        <w:t>checa</w:t>
      </w:r>
      <w:r w:rsidR="0086406D">
        <w:t xml:space="preserve">dos a conformidade da </w:t>
      </w:r>
      <w:r w:rsidR="0074624D">
        <w:t>f</w:t>
      </w:r>
      <w:r w:rsidR="0086406D">
        <w:t xml:space="preserve">onte de recusos utilizada, </w:t>
      </w:r>
      <w:r w:rsidR="00D7181B">
        <w:t xml:space="preserve">sendo que </w:t>
      </w:r>
      <w:r>
        <w:t xml:space="preserve">a fonte de recursos da conta bancária </w:t>
      </w:r>
      <w:r w:rsidR="00D7181B">
        <w:t>deverá ser</w:t>
      </w:r>
      <w:r>
        <w:t xml:space="preserve"> a mesma </w:t>
      </w:r>
      <w:r w:rsidR="0086406D">
        <w:t>da fonte de recursos apontada no empenho da despesa orçamentária.</w:t>
      </w:r>
    </w:p>
    <w:p w:rsidR="00BE41F5" w:rsidRDefault="00BE41F5" w:rsidP="004C4011">
      <w:pPr>
        <w:spacing w:after="0"/>
        <w:ind w:right="441" w:firstLine="1701"/>
        <w:jc w:val="both"/>
      </w:pPr>
    </w:p>
    <w:p w:rsidR="008659E9" w:rsidRDefault="00E37A2D" w:rsidP="004C4011">
      <w:pPr>
        <w:spacing w:after="0"/>
        <w:ind w:right="441" w:firstLine="1701"/>
        <w:jc w:val="both"/>
      </w:pPr>
      <w:r>
        <w:t xml:space="preserve">Art. </w:t>
      </w:r>
      <w:r>
        <w:t>8</w:t>
      </w:r>
      <w:r>
        <w:t xml:space="preserve">º </w:t>
      </w:r>
      <w:r w:rsidR="00A66624">
        <w:t xml:space="preserve">Mensalmente o setor de planejamento efetuará a conferência dos </w:t>
      </w:r>
      <w:r w:rsidR="00D909E9">
        <w:t xml:space="preserve">percentuais </w:t>
      </w:r>
      <w:r w:rsidR="008659E9">
        <w:t>transferidos ou repassados</w:t>
      </w:r>
      <w:r w:rsidR="00A66624">
        <w:t xml:space="preserve"> </w:t>
      </w:r>
      <w:r w:rsidR="00D909E9">
        <w:t>às contas bancárias da Educaçao e Saúde</w:t>
      </w:r>
      <w:r w:rsidR="008659E9">
        <w:t>.</w:t>
      </w:r>
    </w:p>
    <w:p w:rsidR="00BE41F5" w:rsidRDefault="00D909E9" w:rsidP="004C4011">
      <w:pPr>
        <w:spacing w:after="0"/>
        <w:ind w:right="441" w:firstLine="1701"/>
        <w:jc w:val="both"/>
      </w:pPr>
      <w:r>
        <w:t xml:space="preserve"> </w:t>
      </w:r>
    </w:p>
    <w:p w:rsidR="0086406D" w:rsidRDefault="00BE41F5" w:rsidP="004C4011">
      <w:pPr>
        <w:spacing w:after="0"/>
        <w:ind w:right="441" w:firstLine="1701"/>
        <w:jc w:val="both"/>
      </w:pPr>
      <w:r>
        <w:t xml:space="preserve">§1º. </w:t>
      </w:r>
      <w:r>
        <w:t xml:space="preserve">Caso se tratar de fundo municipal, a conferência dos valores repassados </w:t>
      </w:r>
      <w:r w:rsidR="00EB2570">
        <w:t xml:space="preserve">com relação a receita arrecadada, por percentuais das fonte de recursos, a conferência deverá ser efetuada consultando os valores das interveniências financeiras da conta </w:t>
      </w:r>
      <w:r w:rsidR="00A0025F" w:rsidRPr="00A0025F">
        <w:t>3.5.1.1.2</w:t>
      </w:r>
      <w:r w:rsidR="00A0025F">
        <w:t xml:space="preserve"> - T</w:t>
      </w:r>
      <w:r w:rsidR="00A0025F" w:rsidRPr="00A0025F">
        <w:t>RANSFERÊNCIAS CONCEDIDAS PARA A EXECUÇÃO ORÇAMENTÁRIA</w:t>
      </w:r>
      <w:r w:rsidR="002E1E65">
        <w:t xml:space="preserve"> e </w:t>
      </w:r>
      <w:r w:rsidR="002E1E65" w:rsidRPr="002E1E65">
        <w:t>4.5.1.1.2</w:t>
      </w:r>
      <w:r w:rsidR="002E1E65">
        <w:t xml:space="preserve"> - </w:t>
      </w:r>
      <w:r w:rsidR="002E1E65" w:rsidRPr="002E1E65">
        <w:t>RANSFERÊNCIAS RECEBIDAS PARA A EXECUÇÃO ORÇAMENTÁRIA</w:t>
      </w:r>
      <w:r w:rsidR="002E1E65">
        <w:t>, onde os valores das interveniências ativas, deverão concidiar com as passivas.</w:t>
      </w:r>
    </w:p>
    <w:p w:rsidR="00EB5E57" w:rsidRDefault="00EB5E57" w:rsidP="004C4011">
      <w:pPr>
        <w:spacing w:after="0"/>
        <w:ind w:right="441" w:firstLine="1701"/>
        <w:jc w:val="both"/>
      </w:pPr>
    </w:p>
    <w:p w:rsidR="00EB5E57" w:rsidRDefault="00EB5E57" w:rsidP="004C4011">
      <w:pPr>
        <w:spacing w:after="0"/>
        <w:ind w:right="441" w:firstLine="1701"/>
        <w:jc w:val="both"/>
      </w:pPr>
      <w:r>
        <w:t xml:space="preserve">Art. 9° Caberá ao setor de planejamento </w:t>
      </w:r>
      <w:r w:rsidR="00CE34A0">
        <w:t>o levantamento mensal para verificar os percentuais de aplicação do FUNDEB, alertando os gestores para os casos de não aplicação de no mínimo 60% em remuneração e valorização do magistério</w:t>
      </w:r>
      <w:r w:rsidR="00D836D6">
        <w:t>, ou percentual planejado ou previsto</w:t>
      </w:r>
      <w:r w:rsidR="00CE34A0">
        <w:t>.</w:t>
      </w:r>
    </w:p>
    <w:p w:rsidR="00D836D6" w:rsidRDefault="00D836D6" w:rsidP="004C4011">
      <w:pPr>
        <w:spacing w:after="0"/>
        <w:ind w:right="441" w:firstLine="1701"/>
        <w:jc w:val="both"/>
      </w:pPr>
    </w:p>
    <w:p w:rsidR="00D836D6" w:rsidRDefault="00947AA3" w:rsidP="004C4011">
      <w:pPr>
        <w:spacing w:after="0"/>
        <w:ind w:right="441" w:firstLine="1701"/>
        <w:jc w:val="both"/>
      </w:pPr>
      <w:r>
        <w:t>Art. 10</w:t>
      </w:r>
      <w:r w:rsidR="002530AB">
        <w:t xml:space="preserve">° Caberá ao setor de planejamento, o acompanhamento do comportamento da realização de receita, para verificar se os valores ou percentuais de realização estão de acordo com o planejado ou previsto, </w:t>
      </w:r>
      <w:r w:rsidR="00272484">
        <w:t>tomando as providências necessários, conforme o caso:</w:t>
      </w:r>
    </w:p>
    <w:p w:rsidR="00272484" w:rsidRDefault="00272484" w:rsidP="004C4011">
      <w:pPr>
        <w:spacing w:after="0"/>
        <w:ind w:right="441" w:firstLine="1701"/>
        <w:jc w:val="both"/>
      </w:pPr>
    </w:p>
    <w:p w:rsidR="00272484" w:rsidRDefault="00272484" w:rsidP="004C4011">
      <w:pPr>
        <w:spacing w:after="0"/>
        <w:ind w:right="441" w:firstLine="1701"/>
        <w:jc w:val="both"/>
      </w:pPr>
      <w:r>
        <w:t xml:space="preserve">I – Superávit </w:t>
      </w:r>
      <w:r w:rsidR="00DC442F">
        <w:t>O</w:t>
      </w:r>
      <w:r>
        <w:t xml:space="preserve">rçamentário – Caso </w:t>
      </w:r>
      <w:r w:rsidR="00DC442F">
        <w:t xml:space="preserve">a projeção apresente uma possibilidade de superávit, poderá ser efetuado uma abertura de crédito adicional, suplementando as fontes de recursos </w:t>
      </w:r>
      <w:r w:rsidR="002A7C67">
        <w:t>necessárias.</w:t>
      </w:r>
    </w:p>
    <w:p w:rsidR="00D00F52" w:rsidRDefault="00D00F52" w:rsidP="004C4011">
      <w:pPr>
        <w:spacing w:after="0"/>
        <w:ind w:right="441" w:firstLine="1701"/>
        <w:jc w:val="both"/>
      </w:pPr>
    </w:p>
    <w:p w:rsidR="00FD7DED" w:rsidRDefault="00FD7DED" w:rsidP="004C4011">
      <w:pPr>
        <w:spacing w:after="0"/>
        <w:ind w:right="441" w:firstLine="1701"/>
        <w:jc w:val="both"/>
      </w:pPr>
      <w:r>
        <w:t xml:space="preserve">II – Déficit Orçamentário – Caso a projeção apresente uma possibilidade de déficit, o setor de planejamento deverá efetuar a limitação de empenho, reduzindo as despesas das fontes </w:t>
      </w:r>
      <w:r w:rsidR="00D00F52">
        <w:t>de recursos com déficit, suplementando a despesa de reserva de contingência.</w:t>
      </w:r>
    </w:p>
    <w:p w:rsidR="002A7C67" w:rsidRDefault="002A7C67" w:rsidP="004C4011">
      <w:pPr>
        <w:spacing w:after="0"/>
        <w:ind w:right="441" w:firstLine="1701"/>
        <w:jc w:val="both"/>
      </w:pPr>
    </w:p>
    <w:p w:rsidR="00C42F55" w:rsidRDefault="002A7C67" w:rsidP="004C4011">
      <w:pPr>
        <w:spacing w:after="0"/>
        <w:ind w:right="441" w:firstLine="1701"/>
        <w:jc w:val="both"/>
      </w:pPr>
      <w:r>
        <w:t xml:space="preserve">§1º. </w:t>
      </w:r>
      <w:r>
        <w:t>O levantamento do excesso de arrecadaç</w:t>
      </w:r>
      <w:r w:rsidR="00C42F55">
        <w:t>ão</w:t>
      </w:r>
      <w:r>
        <w:t xml:space="preserve"> deverá ser efetuado de forma geral do orçamento</w:t>
      </w:r>
      <w:r w:rsidR="00C42F55">
        <w:t xml:space="preserve"> municipal</w:t>
      </w:r>
      <w:r w:rsidR="00D00F52">
        <w:t>, porém</w:t>
      </w:r>
      <w:r w:rsidR="00895BFE">
        <w:t xml:space="preserve">, </w:t>
      </w:r>
      <w:r>
        <w:t xml:space="preserve">mesmo havendo </w:t>
      </w:r>
      <w:r w:rsidR="00B65D82">
        <w:t>excesso em determinada</w:t>
      </w:r>
      <w:r w:rsidR="00895BFE">
        <w:t>s</w:t>
      </w:r>
      <w:r w:rsidR="00B65D82">
        <w:t xml:space="preserve"> </w:t>
      </w:r>
      <w:r w:rsidR="00895BFE">
        <w:t>f</w:t>
      </w:r>
      <w:r w:rsidR="00B65D82">
        <w:t>onte</w:t>
      </w:r>
      <w:r w:rsidR="00895BFE">
        <w:t>s</w:t>
      </w:r>
      <w:r w:rsidR="00B65D82">
        <w:t xml:space="preserve"> de recursos, caso houver fontes de recursos com projeção de défict, </w:t>
      </w:r>
      <w:r w:rsidR="00C42F55">
        <w:t>deverá ser efetuada a limitação de empenho para as</w:t>
      </w:r>
      <w:r w:rsidR="001717BA">
        <w:t xml:space="preserve"> fontes de recursos com projeção de</w:t>
      </w:r>
      <w:r w:rsidR="00C42F55">
        <w:t xml:space="preserve"> déficit.</w:t>
      </w:r>
    </w:p>
    <w:p w:rsidR="001717BA" w:rsidRDefault="001717BA" w:rsidP="004C4011">
      <w:pPr>
        <w:spacing w:after="0"/>
        <w:ind w:right="441" w:firstLine="1701"/>
        <w:jc w:val="both"/>
      </w:pPr>
    </w:p>
    <w:p w:rsidR="001717BA" w:rsidRDefault="001717BA" w:rsidP="004C4011">
      <w:pPr>
        <w:spacing w:after="0"/>
        <w:ind w:right="441" w:firstLine="1701"/>
        <w:jc w:val="both"/>
      </w:pPr>
      <w:r>
        <w:t>§</w:t>
      </w:r>
      <w:r>
        <w:t>2</w:t>
      </w:r>
      <w:r>
        <w:t>º. O</w:t>
      </w:r>
      <w:r>
        <w:t xml:space="preserve"> excesso de arrecadação e as limitações de empenho, deverão ser efetuadas </w:t>
      </w:r>
      <w:r w:rsidR="004F4C84">
        <w:t xml:space="preserve">considerando individualmente as fontes de recursos, para que ao final do exercício, </w:t>
      </w:r>
      <w:r w:rsidR="00AD12DC">
        <w:t xml:space="preserve">na emissão do Balanço Patrimonial, </w:t>
      </w:r>
      <w:r w:rsidR="004F4C84">
        <w:t xml:space="preserve">não haja </w:t>
      </w:r>
      <w:r w:rsidR="00AD12DC">
        <w:t>déficit financeiro em determinadas fontes, mesmo que no geral ocorra superávit financeiro.</w:t>
      </w:r>
    </w:p>
    <w:p w:rsidR="00A76ACA" w:rsidRDefault="00A76ACA" w:rsidP="004C4011">
      <w:pPr>
        <w:spacing w:after="0"/>
        <w:ind w:right="441" w:firstLine="1701"/>
        <w:jc w:val="both"/>
      </w:pPr>
    </w:p>
    <w:p w:rsidR="002A7C67" w:rsidRDefault="00B65D82" w:rsidP="004C4011">
      <w:pPr>
        <w:spacing w:after="0"/>
        <w:ind w:right="441" w:firstLine="1701"/>
        <w:jc w:val="both"/>
      </w:pPr>
      <w:r>
        <w:t xml:space="preserve"> </w:t>
      </w:r>
      <w:r w:rsidR="00333031">
        <w:t>Art. 1</w:t>
      </w:r>
      <w:r w:rsidR="00333031">
        <w:t>1</w:t>
      </w:r>
      <w:r w:rsidR="00333031">
        <w:t xml:space="preserve">° </w:t>
      </w:r>
      <w:r w:rsidR="004D115F">
        <w:t>O</w:t>
      </w:r>
      <w:r w:rsidR="003D7582">
        <w:t xml:space="preserve"> setor de planejamento deverá </w:t>
      </w:r>
      <w:r w:rsidR="00816BF4">
        <w:t>efetuar</w:t>
      </w:r>
      <w:r w:rsidR="003D7582">
        <w:t xml:space="preserve"> levantamento</w:t>
      </w:r>
      <w:r w:rsidR="00816BF4">
        <w:t xml:space="preserve"> mensal</w:t>
      </w:r>
      <w:r w:rsidR="003D7582">
        <w:t xml:space="preserve">, em qualquer </w:t>
      </w:r>
      <w:r w:rsidR="00816BF4">
        <w:t>mês</w:t>
      </w:r>
      <w:r w:rsidR="003D7582">
        <w:t xml:space="preserve"> da execução do orçamento, obrigatóriamente a partir do mês de setembro, </w:t>
      </w:r>
      <w:r w:rsidR="00816BF4">
        <w:t xml:space="preserve">inclusive, </w:t>
      </w:r>
      <w:r w:rsidR="00333031">
        <w:t xml:space="preserve"> </w:t>
      </w:r>
      <w:r w:rsidR="00816BF4">
        <w:t>utilizando o modelo abaixo:</w:t>
      </w:r>
    </w:p>
    <w:p w:rsidR="00816BF4" w:rsidRDefault="00816BF4" w:rsidP="00816BF4">
      <w:pPr>
        <w:spacing w:after="0"/>
        <w:ind w:right="441"/>
        <w:jc w:val="both"/>
      </w:pPr>
    </w:p>
    <w:p w:rsidR="004B2FF2" w:rsidRDefault="004B2FF2" w:rsidP="00816BF4">
      <w:pPr>
        <w:spacing w:after="0"/>
        <w:ind w:right="441"/>
        <w:jc w:val="both"/>
      </w:pPr>
      <w:r>
        <w:drawing>
          <wp:inline distT="0" distB="0" distL="0" distR="0" wp14:anchorId="52EDEA09" wp14:editId="709C934D">
            <wp:extent cx="6400800" cy="148082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4A0" w:rsidRDefault="00CE34A0" w:rsidP="004C4011">
      <w:pPr>
        <w:spacing w:after="0"/>
        <w:ind w:right="441" w:firstLine="1701"/>
        <w:jc w:val="both"/>
      </w:pPr>
    </w:p>
    <w:p w:rsidR="0019237B" w:rsidRDefault="004D115F" w:rsidP="004C4011">
      <w:pPr>
        <w:spacing w:after="0"/>
        <w:ind w:right="441" w:firstLine="1701"/>
        <w:jc w:val="both"/>
      </w:pPr>
      <w:r>
        <w:t>Art. 1</w:t>
      </w:r>
      <w:r>
        <w:t>2</w:t>
      </w:r>
      <w:r>
        <w:t xml:space="preserve">° </w:t>
      </w:r>
      <w:r>
        <w:t>Caberá ao planejamento</w:t>
      </w:r>
      <w:r w:rsidR="001A7C2C">
        <w:t xml:space="preserve">, mediante discussão com as secretarias </w:t>
      </w:r>
      <w:r w:rsidR="00CC2816">
        <w:t>e</w:t>
      </w:r>
      <w:r w:rsidR="001A7C2C">
        <w:t xml:space="preserve"> demais entidades da administração direta e indireta, os lançamentos de créditos adicionais</w:t>
      </w:r>
      <w:r w:rsidR="00BB53B7">
        <w:t xml:space="preserve"> e limitação de empenhos</w:t>
      </w:r>
      <w:r w:rsidR="0019237B">
        <w:t>.</w:t>
      </w:r>
    </w:p>
    <w:p w:rsidR="0019237B" w:rsidRDefault="0019237B" w:rsidP="004C4011">
      <w:pPr>
        <w:spacing w:after="0"/>
        <w:ind w:right="441" w:firstLine="1701"/>
        <w:jc w:val="both"/>
      </w:pPr>
    </w:p>
    <w:p w:rsidR="00CC2816" w:rsidRDefault="0019237B" w:rsidP="004C4011">
      <w:pPr>
        <w:spacing w:after="0"/>
        <w:ind w:right="441" w:firstLine="1701"/>
        <w:jc w:val="both"/>
      </w:pPr>
      <w:r>
        <w:t xml:space="preserve">§1º. </w:t>
      </w:r>
      <w:r>
        <w:t>A decisão final, caso não haja con</w:t>
      </w:r>
      <w:r w:rsidR="008C2CB0">
        <w:t>s</w:t>
      </w:r>
      <w:r>
        <w:t>en</w:t>
      </w:r>
      <w:r w:rsidR="008C2CB0">
        <w:t>s</w:t>
      </w:r>
      <w:r>
        <w:t>o, será do principal gestor da entidade.</w:t>
      </w:r>
    </w:p>
    <w:p w:rsidR="00CC2816" w:rsidRDefault="00CC2816" w:rsidP="004C4011">
      <w:pPr>
        <w:spacing w:after="0"/>
        <w:ind w:right="441" w:firstLine="1701"/>
        <w:jc w:val="both"/>
      </w:pPr>
    </w:p>
    <w:p w:rsidR="00D836D6" w:rsidRDefault="00CC2816" w:rsidP="004C4011">
      <w:pPr>
        <w:spacing w:after="0"/>
        <w:ind w:right="441" w:firstLine="1701"/>
        <w:jc w:val="both"/>
      </w:pPr>
      <w:r>
        <w:t xml:space="preserve">Art. 13º </w:t>
      </w:r>
      <w:r w:rsidR="00BB53B7">
        <w:t xml:space="preserve"> </w:t>
      </w:r>
      <w:r w:rsidR="002C408B">
        <w:t>Para os casos de retenções orçamentárias, os valores deverão ser recolhidos até o 10º dia útil do mês subsequente.</w:t>
      </w:r>
    </w:p>
    <w:p w:rsidR="002C408B" w:rsidRDefault="002C408B" w:rsidP="004C4011">
      <w:pPr>
        <w:spacing w:after="0"/>
        <w:ind w:right="441" w:firstLine="1701"/>
        <w:jc w:val="both"/>
      </w:pPr>
    </w:p>
    <w:p w:rsidR="00644311" w:rsidRDefault="00644311" w:rsidP="004C4011">
      <w:pPr>
        <w:spacing w:after="0"/>
        <w:ind w:right="441" w:firstLine="1701"/>
        <w:jc w:val="both"/>
      </w:pPr>
      <w:r>
        <w:t xml:space="preserve">§1º. </w:t>
      </w:r>
      <w:r>
        <w:t>Para o mês de dezembro, os valores deverão ser recolhidos dentro do exercício financeiro</w:t>
      </w:r>
      <w:r w:rsidR="006E1EA8">
        <w:t xml:space="preserve"> e caso não for possível, </w:t>
      </w:r>
      <w:r>
        <w:t>os valores não recolhidos de fontes de recursos vinculadas</w:t>
      </w:r>
      <w:r w:rsidR="006E1EA8">
        <w:t>, deverão ser transferidos para uma conta bancária específica.</w:t>
      </w:r>
    </w:p>
    <w:p w:rsidR="00AB3728" w:rsidRDefault="00AB3728" w:rsidP="004C4011">
      <w:pPr>
        <w:spacing w:after="0"/>
        <w:ind w:right="441" w:firstLine="1701"/>
        <w:jc w:val="both"/>
      </w:pPr>
    </w:p>
    <w:p w:rsidR="00AB3728" w:rsidRDefault="00EB1693" w:rsidP="004C4011">
      <w:pPr>
        <w:spacing w:after="0"/>
        <w:ind w:right="441" w:firstLine="1701"/>
        <w:jc w:val="both"/>
      </w:pPr>
      <w:r>
        <w:t>Art. 14º</w:t>
      </w:r>
      <w:r>
        <w:t xml:space="preserve"> O resultado do superávit financeiro apresentado no Balanço Patrimonial do exercício anterior servirá de paramêtro para abertura de Créditos Adicionais</w:t>
      </w:r>
      <w:r w:rsidR="00FF33C4">
        <w:t>, devendo ser suplementado em despesas com as mesmas fontes de recursos apresentadas.</w:t>
      </w:r>
    </w:p>
    <w:p w:rsidR="00FF33C4" w:rsidRDefault="00FF33C4" w:rsidP="004C4011">
      <w:pPr>
        <w:spacing w:after="0"/>
        <w:ind w:right="441" w:firstLine="1701"/>
        <w:jc w:val="both"/>
      </w:pPr>
    </w:p>
    <w:p w:rsidR="00EB5E57" w:rsidRDefault="00FF33C4" w:rsidP="004C4011">
      <w:pPr>
        <w:spacing w:after="0"/>
        <w:ind w:right="441" w:firstLine="1701"/>
        <w:jc w:val="both"/>
      </w:pPr>
      <w:r>
        <w:t>§1º. Para</w:t>
      </w:r>
      <w:r>
        <w:t xml:space="preserve"> os casos de déficit financeiro do exercício anterior, caso a projeção da reali</w:t>
      </w:r>
      <w:r w:rsidR="00CD1FE5">
        <w:t>zação da receita não se comcretize combrindo o referido déficit, deverá ser efetuado limitação de empenhos, para que a situação não se repita.</w:t>
      </w:r>
    </w:p>
    <w:p w:rsidR="00CD1FE5" w:rsidRDefault="00CD1FE5" w:rsidP="004C4011">
      <w:pPr>
        <w:spacing w:after="0"/>
        <w:ind w:right="441" w:firstLine="1701"/>
        <w:jc w:val="both"/>
      </w:pPr>
    </w:p>
    <w:p w:rsidR="00BA4FBF" w:rsidRDefault="00BA4FBF" w:rsidP="004C4011">
      <w:pPr>
        <w:spacing w:after="0"/>
        <w:ind w:right="441" w:firstLine="1701"/>
        <w:jc w:val="both"/>
      </w:pPr>
      <w:r>
        <w:t>Art</w:t>
      </w:r>
      <w:r w:rsidR="00CF5208">
        <w:t>. 1</w:t>
      </w:r>
      <w:r w:rsidR="00CD1FE5">
        <w:t>5</w:t>
      </w:r>
      <w:r w:rsidR="00CF5208">
        <w:t xml:space="preserve">º A utilização das fontes de recursos, elém de seguir manual disponibilizado pelo Tribunal de Contas do Estado, deverá seguir a padronização </w:t>
      </w:r>
      <w:r w:rsidR="00966945">
        <w:t>do MODELO I, anexo a esta instrução normativa.</w:t>
      </w:r>
    </w:p>
    <w:p w:rsidR="00966945" w:rsidRDefault="00966945" w:rsidP="004C4011">
      <w:pPr>
        <w:spacing w:after="0"/>
        <w:ind w:right="441" w:firstLine="1701"/>
        <w:jc w:val="both"/>
      </w:pPr>
    </w:p>
    <w:p w:rsidR="00110DFF" w:rsidRDefault="00966945" w:rsidP="004C4011">
      <w:pPr>
        <w:spacing w:after="0"/>
        <w:ind w:right="441" w:firstLine="1701"/>
        <w:jc w:val="both"/>
      </w:pPr>
      <w:r>
        <w:t xml:space="preserve">§1º. </w:t>
      </w:r>
      <w:r>
        <w:t>Toda a alteração ou ajuste, deverá ser efetuada no anexo MODELO I e solicitado ao proprietário</w:t>
      </w:r>
      <w:r w:rsidR="00CD0D45">
        <w:t xml:space="preserve"> ou locador do sistema informatizado, para que atualize o sotwhare e não comprometa o envio dos balancetes ao SIGAP – Sistema de Gestão </w:t>
      </w:r>
      <w:r w:rsidR="00682314">
        <w:t>Auditoria Pública, do TCE-RO.</w:t>
      </w:r>
    </w:p>
    <w:p w:rsidR="00110DFF" w:rsidRDefault="00110DFF" w:rsidP="00110DFF">
      <w:pPr>
        <w:spacing w:after="0"/>
        <w:ind w:right="441"/>
        <w:jc w:val="both"/>
      </w:pPr>
    </w:p>
    <w:p w:rsidR="00110DFF" w:rsidRDefault="00110DFF" w:rsidP="00110DFF">
      <w:pPr>
        <w:spacing w:after="0"/>
        <w:ind w:right="441"/>
        <w:jc w:val="both"/>
      </w:pPr>
    </w:p>
    <w:p w:rsidR="00EE7C1B" w:rsidRDefault="00EE7C1B" w:rsidP="00EE7C1B">
      <w:pPr>
        <w:spacing w:after="0"/>
        <w:ind w:right="441"/>
        <w:jc w:val="center"/>
      </w:pPr>
      <w:r>
        <w:t>CAPÍTULO V</w:t>
      </w:r>
    </w:p>
    <w:p w:rsidR="00EE7C1B" w:rsidRDefault="00EE7C1B" w:rsidP="00EE7C1B">
      <w:pPr>
        <w:spacing w:after="0"/>
        <w:ind w:right="441"/>
        <w:jc w:val="center"/>
      </w:pPr>
      <w:r>
        <w:t xml:space="preserve">DAS </w:t>
      </w:r>
      <w:r>
        <w:t>RESPONSABILIDADES</w:t>
      </w:r>
    </w:p>
    <w:p w:rsidR="00110DFF" w:rsidRDefault="00110DFF" w:rsidP="00110DFF">
      <w:pPr>
        <w:spacing w:after="0"/>
        <w:ind w:right="441"/>
        <w:jc w:val="both"/>
      </w:pPr>
    </w:p>
    <w:p w:rsidR="00CE2BEF" w:rsidRDefault="00CE2BEF" w:rsidP="00CE2BEF">
      <w:pPr>
        <w:spacing w:after="0"/>
        <w:ind w:right="441" w:firstLine="1701"/>
        <w:jc w:val="both"/>
      </w:pPr>
      <w:r>
        <w:t xml:space="preserve">Art. </w:t>
      </w:r>
      <w:r>
        <w:t>16</w:t>
      </w:r>
      <w:r>
        <w:t>º São responsabilidades da Controladoria Interna:</w:t>
      </w:r>
    </w:p>
    <w:p w:rsidR="00CE2BEF" w:rsidRDefault="00CE2BEF" w:rsidP="00CE2BEF">
      <w:pPr>
        <w:spacing w:after="0"/>
        <w:ind w:right="441"/>
        <w:jc w:val="both"/>
      </w:pPr>
    </w:p>
    <w:p w:rsidR="00CE2BEF" w:rsidRDefault="00CE2BEF" w:rsidP="00CE2BEF">
      <w:pPr>
        <w:spacing w:after="0"/>
        <w:ind w:right="441" w:firstLine="1701"/>
        <w:jc w:val="both"/>
      </w:pPr>
      <w:r>
        <w:t>I – Promover a divulgação e implementação da Instrução Normativa, mantendo-a atualizada, orientar as áreas executoras e supervisionar sua aplicação;</w:t>
      </w:r>
    </w:p>
    <w:p w:rsidR="00CE2BEF" w:rsidRDefault="00CE2BEF" w:rsidP="00CE2BEF">
      <w:pPr>
        <w:spacing w:after="0"/>
        <w:ind w:right="441" w:firstLine="1701"/>
        <w:jc w:val="both"/>
      </w:pPr>
    </w:p>
    <w:p w:rsidR="00CE2BEF" w:rsidRDefault="00CE2BEF" w:rsidP="00CE2BEF">
      <w:pPr>
        <w:spacing w:after="0"/>
        <w:ind w:right="441" w:firstLine="1701"/>
        <w:jc w:val="both"/>
      </w:pPr>
      <w:r>
        <w:t>II – Promover discussões técnicas com as unidades executoras, para definir as rotinas de trabalho e os respectivos procedimentos de controle que devem ser objeto de alteração, atualização ou expansão.</w:t>
      </w:r>
    </w:p>
    <w:p w:rsidR="00CE2BEF" w:rsidRDefault="00CE2BEF" w:rsidP="00CE2BEF">
      <w:pPr>
        <w:spacing w:after="0"/>
        <w:ind w:right="441" w:firstLine="1701"/>
        <w:jc w:val="both"/>
      </w:pPr>
    </w:p>
    <w:p w:rsidR="00CE2BEF" w:rsidRDefault="00CE2BEF" w:rsidP="00CE2BEF">
      <w:pPr>
        <w:spacing w:after="0"/>
        <w:ind w:right="441" w:firstLine="1701"/>
        <w:jc w:val="both"/>
      </w:pPr>
      <w:r>
        <w:t>III – Manter a Instrução à disposição de todos os servidores do Poder Executivo.</w:t>
      </w:r>
    </w:p>
    <w:p w:rsidR="00CE2BEF" w:rsidRDefault="00CE2BEF" w:rsidP="00CE2BEF">
      <w:pPr>
        <w:spacing w:after="0"/>
        <w:ind w:right="441" w:firstLine="1701"/>
        <w:jc w:val="both"/>
      </w:pPr>
    </w:p>
    <w:p w:rsidR="003E336E" w:rsidRDefault="00CE2BEF" w:rsidP="00CE2BEF">
      <w:pPr>
        <w:spacing w:after="0"/>
        <w:ind w:right="441" w:firstLine="1701"/>
        <w:jc w:val="both"/>
      </w:pPr>
      <w:r>
        <w:lastRenderedPageBreak/>
        <w:t xml:space="preserve">Art. </w:t>
      </w:r>
      <w:r w:rsidR="00CB2A64">
        <w:t>17</w:t>
      </w:r>
      <w:r>
        <w:t xml:space="preserve">º É de responsabilidade da Secretaria de </w:t>
      </w:r>
      <w:r w:rsidR="00CB2A64">
        <w:t>Planejamento</w:t>
      </w:r>
      <w:r w:rsidR="003E336E">
        <w:t>:</w:t>
      </w:r>
    </w:p>
    <w:p w:rsidR="003E336E" w:rsidRDefault="003E336E" w:rsidP="00CE2BEF">
      <w:pPr>
        <w:spacing w:after="0"/>
        <w:ind w:right="441" w:firstLine="1701"/>
        <w:jc w:val="both"/>
      </w:pPr>
    </w:p>
    <w:p w:rsidR="00CE2BEF" w:rsidRDefault="003E336E" w:rsidP="003E336E">
      <w:pPr>
        <w:spacing w:after="0"/>
        <w:ind w:right="441" w:firstLine="1701"/>
        <w:jc w:val="both"/>
      </w:pPr>
      <w:r>
        <w:t xml:space="preserve">I - </w:t>
      </w:r>
      <w:r w:rsidR="00CE2BEF">
        <w:t xml:space="preserve"> </w:t>
      </w:r>
      <w:r>
        <w:t>E</w:t>
      </w:r>
      <w:r w:rsidR="00CB2A64">
        <w:t>fetuar o planejamento correto para a aplicação das fontes de recursos</w:t>
      </w:r>
      <w:r w:rsidR="00CE2BEF">
        <w:t>.</w:t>
      </w:r>
    </w:p>
    <w:p w:rsidR="000D0D3D" w:rsidRDefault="000D0D3D" w:rsidP="003E336E">
      <w:pPr>
        <w:spacing w:after="0"/>
        <w:ind w:right="441" w:firstLine="1701"/>
        <w:jc w:val="both"/>
      </w:pPr>
    </w:p>
    <w:p w:rsidR="000D0D3D" w:rsidRDefault="000D0D3D" w:rsidP="003E336E">
      <w:pPr>
        <w:spacing w:after="0"/>
        <w:ind w:right="441" w:firstLine="1701"/>
        <w:jc w:val="both"/>
      </w:pPr>
      <w:r>
        <w:t xml:space="preserve">II – Orientar a secretaria de finanças para a correta realização </w:t>
      </w:r>
      <w:r w:rsidR="00FF0905">
        <w:t>das receitas e a correta execução da despesas, em todas as suas fases.</w:t>
      </w:r>
    </w:p>
    <w:p w:rsidR="005A5B91" w:rsidRDefault="005A5B91" w:rsidP="003E336E">
      <w:pPr>
        <w:spacing w:after="0"/>
        <w:ind w:right="441" w:firstLine="1701"/>
        <w:jc w:val="both"/>
      </w:pPr>
    </w:p>
    <w:p w:rsidR="005A5B91" w:rsidRDefault="005A5B91" w:rsidP="003E336E">
      <w:pPr>
        <w:spacing w:after="0"/>
        <w:ind w:right="441" w:firstLine="1701"/>
        <w:jc w:val="both"/>
      </w:pPr>
    </w:p>
    <w:p w:rsidR="005A5B91" w:rsidRDefault="005A5B91" w:rsidP="003E336E">
      <w:pPr>
        <w:spacing w:after="0"/>
        <w:ind w:right="441" w:firstLine="1701"/>
        <w:jc w:val="both"/>
      </w:pPr>
    </w:p>
    <w:p w:rsidR="00FF0905" w:rsidRDefault="00FF0905" w:rsidP="003E336E">
      <w:pPr>
        <w:spacing w:after="0"/>
        <w:ind w:right="441" w:firstLine="1701"/>
        <w:jc w:val="both"/>
      </w:pPr>
    </w:p>
    <w:p w:rsidR="005A5B91" w:rsidRDefault="005A5B91" w:rsidP="005A5B91">
      <w:pPr>
        <w:spacing w:after="0"/>
        <w:ind w:right="441"/>
        <w:jc w:val="center"/>
      </w:pPr>
      <w:r>
        <w:t>CAPÍTULO V</w:t>
      </w:r>
      <w:r>
        <w:t>I</w:t>
      </w:r>
    </w:p>
    <w:p w:rsidR="005A5B91" w:rsidRDefault="005A5B91" w:rsidP="005A5B91">
      <w:pPr>
        <w:spacing w:after="0"/>
        <w:ind w:right="441"/>
        <w:jc w:val="center"/>
      </w:pPr>
      <w:r>
        <w:t>BASE LEGAL</w:t>
      </w:r>
    </w:p>
    <w:p w:rsidR="005A5B91" w:rsidRDefault="005A5B91" w:rsidP="005A5B91">
      <w:pPr>
        <w:spacing w:after="0"/>
        <w:ind w:right="441"/>
        <w:jc w:val="both"/>
      </w:pPr>
    </w:p>
    <w:p w:rsidR="005A5B91" w:rsidRDefault="005A5B91" w:rsidP="005A5B91">
      <w:pPr>
        <w:spacing w:after="0"/>
        <w:ind w:right="441" w:firstLine="1701"/>
        <w:jc w:val="both"/>
      </w:pPr>
      <w:r>
        <w:t xml:space="preserve">Art. º </w:t>
      </w:r>
      <w:r w:rsidR="00ED441C">
        <w:t xml:space="preserve">18 </w:t>
      </w:r>
      <w:r>
        <w:t>A presente Instrução Normativa tem como base legal:</w:t>
      </w:r>
    </w:p>
    <w:p w:rsidR="005A5B91" w:rsidRDefault="005A5B91" w:rsidP="005A5B91">
      <w:pPr>
        <w:pStyle w:val="PargrafodaLista"/>
        <w:numPr>
          <w:ilvl w:val="0"/>
          <w:numId w:val="1"/>
        </w:numPr>
        <w:spacing w:after="0"/>
        <w:ind w:right="441"/>
        <w:jc w:val="both"/>
      </w:pPr>
      <w:r>
        <w:t>Constituição Federal, art. 23, inciso I; art. 31; art. 70, parágrafo único; art. 74, inciso II;</w:t>
      </w:r>
    </w:p>
    <w:p w:rsidR="005A5B91" w:rsidRDefault="005A5B91" w:rsidP="005A5B91">
      <w:pPr>
        <w:pStyle w:val="PargrafodaLista"/>
        <w:numPr>
          <w:ilvl w:val="0"/>
          <w:numId w:val="1"/>
        </w:numPr>
        <w:spacing w:after="0"/>
        <w:ind w:right="441"/>
        <w:jc w:val="both"/>
      </w:pPr>
      <w:r>
        <w:t>Lei Federal nº 4.320/64;</w:t>
      </w:r>
    </w:p>
    <w:p w:rsidR="005A5B91" w:rsidRDefault="005A5B91" w:rsidP="005A5B91">
      <w:pPr>
        <w:pStyle w:val="PargrafodaLista"/>
        <w:numPr>
          <w:ilvl w:val="0"/>
          <w:numId w:val="1"/>
        </w:numPr>
        <w:spacing w:after="0"/>
        <w:ind w:right="441"/>
        <w:jc w:val="both"/>
      </w:pPr>
      <w:r>
        <w:t>Lei Federal nº 101/00 – Lei de Reponsabilidade Fiscal (LRF);</w:t>
      </w:r>
    </w:p>
    <w:p w:rsidR="001734F2" w:rsidRDefault="001734F2" w:rsidP="005A5B91">
      <w:pPr>
        <w:pStyle w:val="PargrafodaLista"/>
        <w:numPr>
          <w:ilvl w:val="0"/>
          <w:numId w:val="1"/>
        </w:numPr>
        <w:spacing w:after="0"/>
        <w:ind w:right="441"/>
        <w:jc w:val="both"/>
      </w:pPr>
      <w:r>
        <w:t>Manual da Receita Pública disponibilizado pela STN.</w:t>
      </w:r>
    </w:p>
    <w:p w:rsidR="001734F2" w:rsidRDefault="001734F2" w:rsidP="005A5B91">
      <w:pPr>
        <w:pStyle w:val="PargrafodaLista"/>
        <w:numPr>
          <w:ilvl w:val="0"/>
          <w:numId w:val="1"/>
        </w:numPr>
        <w:spacing w:after="0"/>
        <w:ind w:right="441"/>
        <w:jc w:val="both"/>
      </w:pPr>
      <w:r>
        <w:t>Relação das Fontes de Recursos disponibilizadas pelo TCE-RO.</w:t>
      </w:r>
    </w:p>
    <w:p w:rsidR="005A5B91" w:rsidRDefault="005A5B91" w:rsidP="005A5B91">
      <w:pPr>
        <w:pStyle w:val="PargrafodaLista"/>
        <w:spacing w:after="0"/>
        <w:ind w:right="441"/>
        <w:jc w:val="both"/>
      </w:pPr>
    </w:p>
    <w:p w:rsidR="00FF0905" w:rsidRDefault="00FF0905" w:rsidP="003E336E">
      <w:pPr>
        <w:spacing w:after="0"/>
        <w:ind w:right="441" w:firstLine="1701"/>
        <w:jc w:val="both"/>
      </w:pPr>
    </w:p>
    <w:p w:rsidR="00ED441C" w:rsidRDefault="00ED441C" w:rsidP="00ED441C">
      <w:pPr>
        <w:spacing w:after="0"/>
        <w:ind w:right="441"/>
        <w:jc w:val="center"/>
      </w:pPr>
      <w:r>
        <w:t>CAPÍTULO VII</w:t>
      </w:r>
    </w:p>
    <w:p w:rsidR="00ED441C" w:rsidRDefault="00ED441C" w:rsidP="00ED441C">
      <w:pPr>
        <w:spacing w:after="0"/>
        <w:ind w:right="441"/>
        <w:jc w:val="center"/>
      </w:pPr>
      <w:r>
        <w:t>DISPOSIÇOES FINAIS</w:t>
      </w:r>
    </w:p>
    <w:p w:rsidR="00ED441C" w:rsidRDefault="00ED441C" w:rsidP="00ED441C">
      <w:pPr>
        <w:spacing w:after="0"/>
        <w:ind w:right="441"/>
      </w:pPr>
    </w:p>
    <w:p w:rsidR="00ED441C" w:rsidRDefault="00ED441C" w:rsidP="00ED441C">
      <w:pPr>
        <w:spacing w:after="0"/>
        <w:ind w:right="441"/>
      </w:pPr>
    </w:p>
    <w:p w:rsidR="0002498B" w:rsidRDefault="0002498B" w:rsidP="0002498B">
      <w:pPr>
        <w:spacing w:after="0"/>
        <w:ind w:right="441" w:firstLine="1701"/>
        <w:jc w:val="both"/>
      </w:pPr>
      <w:r>
        <w:t>Art. 1</w:t>
      </w:r>
      <w:r>
        <w:t>9</w:t>
      </w:r>
      <w:r w:rsidR="00CE19A6">
        <w:t>º</w:t>
      </w:r>
      <w:r>
        <w:t xml:space="preserve"> </w:t>
      </w:r>
      <w:r>
        <w:t xml:space="preserve">A Secretaria Municipal de </w:t>
      </w:r>
      <w:r w:rsidR="00CA7584">
        <w:t>Planejamento</w:t>
      </w:r>
      <w:r>
        <w:t xml:space="preserve">, deverá promover, em conjunto com outras secretarias ou setores envolvidos, melhorias no sistema de </w:t>
      </w:r>
      <w:r w:rsidR="00CA7584">
        <w:t>elaboração do PPA/LDO/LOA</w:t>
      </w:r>
      <w:r>
        <w:t>, visando à futura integração dos sistemas</w:t>
      </w:r>
      <w:r w:rsidR="00CA7584">
        <w:t>.</w:t>
      </w:r>
    </w:p>
    <w:p w:rsidR="00CA7584" w:rsidRDefault="00CA7584" w:rsidP="0002498B">
      <w:pPr>
        <w:spacing w:after="0"/>
        <w:ind w:right="441" w:firstLine="1701"/>
        <w:jc w:val="both"/>
      </w:pPr>
    </w:p>
    <w:p w:rsidR="0002498B" w:rsidRDefault="0002498B" w:rsidP="0002498B">
      <w:pPr>
        <w:spacing w:after="0"/>
        <w:ind w:right="441" w:firstLine="1701"/>
        <w:jc w:val="both"/>
      </w:pPr>
      <w:r>
        <w:t>Art.</w:t>
      </w:r>
      <w:r w:rsidR="00CE19A6">
        <w:t xml:space="preserve"> 20</w:t>
      </w:r>
      <w:r w:rsidR="00CE19A6">
        <w:t>º</w:t>
      </w:r>
      <w:r>
        <w:t xml:space="preserve"> Esta Instrução Normativa deverá ser atualizada sempre que fatores organizacionais, legais e/ou técnicos assim exigirem, bem como para manter o processo de melhoria contínua dos serviços públicos municipais.</w:t>
      </w:r>
    </w:p>
    <w:p w:rsidR="0002498B" w:rsidRDefault="0002498B" w:rsidP="0002498B">
      <w:pPr>
        <w:spacing w:after="0"/>
        <w:ind w:right="441" w:firstLine="1701"/>
        <w:jc w:val="both"/>
      </w:pPr>
    </w:p>
    <w:p w:rsidR="0002498B" w:rsidRDefault="0002498B" w:rsidP="0002498B">
      <w:pPr>
        <w:spacing w:after="0"/>
        <w:ind w:right="441" w:firstLine="1701"/>
        <w:jc w:val="both"/>
      </w:pPr>
      <w:r>
        <w:t xml:space="preserve">Art. </w:t>
      </w:r>
      <w:r w:rsidR="00CE19A6">
        <w:t>21º</w:t>
      </w:r>
      <w:r>
        <w:t xml:space="preserve"> Os termos contidos nesta Instrução Normativa, não eximem a observância das demais normas competentes, que devem ser respeitadas.</w:t>
      </w:r>
    </w:p>
    <w:p w:rsidR="0002498B" w:rsidRDefault="0002498B" w:rsidP="0002498B">
      <w:pPr>
        <w:spacing w:after="0"/>
        <w:ind w:right="441"/>
        <w:jc w:val="both"/>
      </w:pPr>
    </w:p>
    <w:p w:rsidR="0002498B" w:rsidRDefault="0002498B" w:rsidP="0002498B">
      <w:pPr>
        <w:spacing w:after="0"/>
        <w:ind w:right="441" w:firstLine="1701"/>
        <w:jc w:val="both"/>
      </w:pPr>
      <w:r>
        <w:t xml:space="preserve">Art. </w:t>
      </w:r>
      <w:r w:rsidR="00CE19A6">
        <w:t>22º</w:t>
      </w:r>
      <w:r>
        <w:t xml:space="preserve"> O descumprimento do disposto nesta Instrução Normativa poderá importar na aplicação de penalidades ao responsável, nos termos do Estatuto dos Servidores Públicos Municipais vigente, sem prejuízo de outras medidas legais.</w:t>
      </w:r>
    </w:p>
    <w:p w:rsidR="0002498B" w:rsidRDefault="0002498B" w:rsidP="0002498B">
      <w:pPr>
        <w:spacing w:after="0"/>
        <w:ind w:right="441" w:firstLine="1701"/>
        <w:jc w:val="both"/>
      </w:pPr>
    </w:p>
    <w:p w:rsidR="0002498B" w:rsidRDefault="0002498B" w:rsidP="0002498B">
      <w:pPr>
        <w:spacing w:after="0"/>
        <w:ind w:right="441" w:firstLine="1701"/>
        <w:jc w:val="both"/>
      </w:pPr>
      <w:r>
        <w:t xml:space="preserve">Art. </w:t>
      </w:r>
      <w:r w:rsidR="00377C89">
        <w:t>23</w:t>
      </w:r>
      <w:r w:rsidR="008A50FD">
        <w:t>º</w:t>
      </w:r>
      <w:r>
        <w:t xml:space="preserve"> É parte integrante desta Instrução Normativa o </w:t>
      </w:r>
      <w:r w:rsidR="00377C89">
        <w:t>MODELO</w:t>
      </w:r>
      <w:r>
        <w:t xml:space="preserve"> I</w:t>
      </w:r>
      <w:r w:rsidR="00377C89">
        <w:t xml:space="preserve">, que padroniza </w:t>
      </w:r>
      <w:r w:rsidR="008A50FD">
        <w:t>a utilização das fontes de recusros de cada receita.</w:t>
      </w:r>
    </w:p>
    <w:p w:rsidR="0002498B" w:rsidRDefault="0002498B" w:rsidP="0002498B">
      <w:pPr>
        <w:spacing w:after="0"/>
        <w:ind w:right="441" w:firstLine="1701"/>
        <w:jc w:val="both"/>
      </w:pPr>
    </w:p>
    <w:p w:rsidR="0002498B" w:rsidRDefault="0002498B" w:rsidP="0002498B">
      <w:pPr>
        <w:spacing w:after="0"/>
        <w:ind w:right="441" w:firstLine="1701"/>
        <w:jc w:val="both"/>
      </w:pPr>
      <w:r>
        <w:t xml:space="preserve">§1º. Caberá a empresa que mantém contrato de locação de sistemas informatizados (licença de uso), </w:t>
      </w:r>
      <w:r w:rsidR="00FA3B3B">
        <w:t xml:space="preserve">efetuar os treinamentos ou </w:t>
      </w:r>
      <w:r>
        <w:t>disponibilizar manual especifico e resumido para o cumprimento desta Instrução Normativa</w:t>
      </w:r>
      <w:r w:rsidR="00FA3B3B">
        <w:t xml:space="preserve">, inclusive a criação de relatórios específicas que facilitem o planejamento da entidade. </w:t>
      </w:r>
      <w:bookmarkStart w:id="0" w:name="_GoBack"/>
      <w:bookmarkEnd w:id="0"/>
      <w:r>
        <w:t>.</w:t>
      </w:r>
    </w:p>
    <w:p w:rsidR="0002498B" w:rsidRDefault="0002498B" w:rsidP="0002498B">
      <w:pPr>
        <w:spacing w:after="0"/>
        <w:ind w:right="441" w:firstLine="1701"/>
        <w:jc w:val="both"/>
      </w:pPr>
    </w:p>
    <w:p w:rsidR="0002498B" w:rsidRDefault="0002498B" w:rsidP="0002498B">
      <w:pPr>
        <w:spacing w:after="0"/>
        <w:ind w:right="441" w:firstLine="1701"/>
        <w:jc w:val="both"/>
      </w:pPr>
      <w:r>
        <w:t xml:space="preserve">Art. </w:t>
      </w:r>
      <w:r w:rsidR="008A50FD">
        <w:t>24º</w:t>
      </w:r>
      <w:r>
        <w:t xml:space="preserve"> Esta instrução entrará em vigor na data de sua publicação.</w:t>
      </w:r>
    </w:p>
    <w:p w:rsidR="0002498B" w:rsidRDefault="0002498B" w:rsidP="0002498B">
      <w:pPr>
        <w:spacing w:after="0"/>
        <w:ind w:right="441"/>
        <w:jc w:val="both"/>
      </w:pPr>
    </w:p>
    <w:p w:rsidR="0002498B" w:rsidRDefault="0002498B" w:rsidP="0002498B">
      <w:pPr>
        <w:spacing w:after="0"/>
        <w:ind w:right="441"/>
        <w:jc w:val="both"/>
      </w:pPr>
    </w:p>
    <w:p w:rsidR="0002498B" w:rsidRDefault="0002498B" w:rsidP="0002498B">
      <w:pPr>
        <w:spacing w:after="0"/>
        <w:ind w:right="441"/>
        <w:jc w:val="both"/>
      </w:pPr>
    </w:p>
    <w:p w:rsidR="008A50FD" w:rsidRDefault="008A50FD" w:rsidP="008A50FD">
      <w:pPr>
        <w:spacing w:after="0"/>
        <w:ind w:right="441"/>
        <w:jc w:val="right"/>
      </w:pPr>
      <w:r>
        <w:lastRenderedPageBreak/>
        <w:t xml:space="preserve">Caccoal, </w:t>
      </w:r>
      <w:r w:rsidR="00D1499E">
        <w:t>07 de outubro de 2019.</w:t>
      </w:r>
    </w:p>
    <w:p w:rsidR="0002498B" w:rsidRDefault="0002498B" w:rsidP="0002498B">
      <w:pPr>
        <w:spacing w:after="0"/>
        <w:ind w:right="441"/>
        <w:jc w:val="both"/>
      </w:pPr>
    </w:p>
    <w:p w:rsidR="0002498B" w:rsidRDefault="0002498B" w:rsidP="008A50FD">
      <w:pPr>
        <w:spacing w:after="0"/>
        <w:ind w:right="441"/>
        <w:jc w:val="center"/>
      </w:pPr>
      <w:r>
        <w:t>Controle Interno</w:t>
      </w:r>
    </w:p>
    <w:p w:rsidR="0002498B" w:rsidRDefault="0002498B" w:rsidP="008A50FD">
      <w:pPr>
        <w:spacing w:after="0"/>
        <w:ind w:right="441"/>
        <w:jc w:val="center"/>
      </w:pPr>
    </w:p>
    <w:p w:rsidR="0002498B" w:rsidRDefault="0002498B" w:rsidP="008A50FD">
      <w:pPr>
        <w:spacing w:after="0"/>
        <w:ind w:right="441"/>
        <w:jc w:val="center"/>
      </w:pPr>
      <w:r>
        <w:t>Prefeito Municipal</w:t>
      </w:r>
    </w:p>
    <w:p w:rsidR="0002498B" w:rsidRDefault="0002498B" w:rsidP="008A50FD">
      <w:pPr>
        <w:spacing w:after="0"/>
        <w:ind w:right="441"/>
        <w:jc w:val="center"/>
      </w:pPr>
    </w:p>
    <w:p w:rsidR="0002498B" w:rsidRDefault="0002498B" w:rsidP="008A50FD">
      <w:pPr>
        <w:spacing w:after="0"/>
        <w:ind w:right="441"/>
        <w:jc w:val="center"/>
      </w:pPr>
      <w:r>
        <w:t>Secretários e Diretores das Autarquias.</w:t>
      </w:r>
    </w:p>
    <w:p w:rsidR="0002498B" w:rsidRDefault="0002498B" w:rsidP="008A50FD">
      <w:pPr>
        <w:spacing w:after="0"/>
        <w:ind w:right="441"/>
        <w:jc w:val="center"/>
      </w:pPr>
    </w:p>
    <w:p w:rsidR="00FF0905" w:rsidRDefault="00FF0905" w:rsidP="003E336E">
      <w:pPr>
        <w:spacing w:after="0"/>
        <w:ind w:right="441" w:firstLine="1701"/>
        <w:jc w:val="both"/>
      </w:pPr>
    </w:p>
    <w:p w:rsidR="00D1499E" w:rsidRDefault="00D1499E" w:rsidP="003E336E">
      <w:pPr>
        <w:spacing w:after="0"/>
        <w:ind w:right="441" w:firstLine="1701"/>
        <w:jc w:val="both"/>
      </w:pPr>
    </w:p>
    <w:p w:rsidR="00FF0905" w:rsidRDefault="00FF0905" w:rsidP="003E336E">
      <w:pPr>
        <w:spacing w:after="0"/>
        <w:ind w:right="441" w:firstLine="1701"/>
        <w:jc w:val="both"/>
      </w:pPr>
    </w:p>
    <w:p w:rsidR="00FF0905" w:rsidRDefault="00FF0905" w:rsidP="003E336E">
      <w:pPr>
        <w:spacing w:after="0"/>
        <w:ind w:right="441" w:firstLine="1701"/>
        <w:jc w:val="both"/>
      </w:pPr>
    </w:p>
    <w:p w:rsidR="00FF0905" w:rsidRDefault="00FF0905" w:rsidP="003E336E">
      <w:pPr>
        <w:spacing w:after="0"/>
        <w:ind w:right="441" w:firstLine="1701"/>
        <w:jc w:val="both"/>
      </w:pPr>
    </w:p>
    <w:p w:rsidR="00FF0905" w:rsidRDefault="00FF0905" w:rsidP="003E336E">
      <w:pPr>
        <w:spacing w:after="0"/>
        <w:ind w:right="441" w:firstLine="1701"/>
        <w:jc w:val="both"/>
      </w:pPr>
    </w:p>
    <w:p w:rsidR="00FF0905" w:rsidRDefault="00FF0905" w:rsidP="003E336E">
      <w:pPr>
        <w:spacing w:after="0"/>
        <w:ind w:right="441" w:firstLine="1701"/>
        <w:jc w:val="both"/>
      </w:pPr>
    </w:p>
    <w:p w:rsidR="00FF0905" w:rsidRDefault="00FF0905" w:rsidP="003E336E">
      <w:pPr>
        <w:spacing w:after="0"/>
        <w:ind w:right="441" w:firstLine="1701"/>
        <w:jc w:val="both"/>
      </w:pPr>
    </w:p>
    <w:p w:rsidR="00FF0905" w:rsidRDefault="00FF0905" w:rsidP="003E336E">
      <w:pPr>
        <w:spacing w:after="0"/>
        <w:ind w:right="441" w:firstLine="1701"/>
        <w:jc w:val="both"/>
      </w:pPr>
    </w:p>
    <w:p w:rsidR="00FF0905" w:rsidRDefault="00FF0905" w:rsidP="003E336E">
      <w:pPr>
        <w:spacing w:after="0"/>
        <w:ind w:right="441" w:firstLine="1701"/>
        <w:jc w:val="both"/>
      </w:pPr>
    </w:p>
    <w:p w:rsidR="00FF0905" w:rsidRDefault="00FF0905" w:rsidP="003E336E">
      <w:pPr>
        <w:spacing w:after="0"/>
        <w:ind w:right="441" w:firstLine="1701"/>
        <w:jc w:val="both"/>
      </w:pPr>
    </w:p>
    <w:p w:rsidR="00D1499E" w:rsidRDefault="00D1499E" w:rsidP="003E336E">
      <w:pPr>
        <w:spacing w:after="0"/>
        <w:ind w:right="441" w:firstLine="1701"/>
        <w:jc w:val="both"/>
      </w:pPr>
    </w:p>
    <w:p w:rsidR="00D1499E" w:rsidRDefault="00D1499E" w:rsidP="003E336E">
      <w:pPr>
        <w:spacing w:after="0"/>
        <w:ind w:right="441" w:firstLine="1701"/>
        <w:jc w:val="both"/>
      </w:pPr>
    </w:p>
    <w:p w:rsidR="00D1499E" w:rsidRDefault="00D1499E" w:rsidP="003E336E">
      <w:pPr>
        <w:spacing w:after="0"/>
        <w:ind w:right="441" w:firstLine="1701"/>
        <w:jc w:val="both"/>
      </w:pPr>
    </w:p>
    <w:p w:rsidR="00D1499E" w:rsidRDefault="00D1499E" w:rsidP="003E336E">
      <w:pPr>
        <w:spacing w:after="0"/>
        <w:ind w:right="441" w:firstLine="1701"/>
        <w:jc w:val="both"/>
      </w:pPr>
    </w:p>
    <w:p w:rsidR="00D1499E" w:rsidRDefault="00D1499E" w:rsidP="003E336E">
      <w:pPr>
        <w:spacing w:after="0"/>
        <w:ind w:right="441" w:firstLine="1701"/>
        <w:jc w:val="both"/>
      </w:pPr>
    </w:p>
    <w:p w:rsidR="00D1499E" w:rsidRDefault="00D1499E" w:rsidP="003E336E">
      <w:pPr>
        <w:spacing w:after="0"/>
        <w:ind w:right="441" w:firstLine="1701"/>
        <w:jc w:val="both"/>
      </w:pPr>
    </w:p>
    <w:p w:rsidR="00FF0905" w:rsidRDefault="00FF0905" w:rsidP="003E336E">
      <w:pPr>
        <w:spacing w:after="0"/>
        <w:ind w:right="441" w:firstLine="1701"/>
        <w:jc w:val="both"/>
      </w:pPr>
    </w:p>
    <w:p w:rsidR="00FF0905" w:rsidRDefault="00FF0905" w:rsidP="003E336E">
      <w:pPr>
        <w:spacing w:after="0"/>
        <w:ind w:right="441" w:firstLine="1701"/>
        <w:jc w:val="both"/>
      </w:pPr>
    </w:p>
    <w:p w:rsidR="003E336E" w:rsidRDefault="003E336E" w:rsidP="00CE2BEF">
      <w:pPr>
        <w:spacing w:after="0"/>
        <w:ind w:right="441" w:firstLine="1701"/>
        <w:jc w:val="both"/>
      </w:pPr>
    </w:p>
    <w:p w:rsidR="00D1499E" w:rsidRDefault="00D1499E" w:rsidP="00110DFF">
      <w:pPr>
        <w:spacing w:after="0"/>
        <w:ind w:right="441"/>
        <w:jc w:val="both"/>
      </w:pPr>
    </w:p>
    <w:p w:rsidR="00966945" w:rsidRDefault="00110DFF" w:rsidP="00110DFF">
      <w:pPr>
        <w:spacing w:after="0"/>
        <w:ind w:right="441"/>
        <w:jc w:val="both"/>
      </w:pPr>
      <w:r>
        <w:lastRenderedPageBreak/>
        <w:drawing>
          <wp:inline distT="0" distB="0" distL="0" distR="0" wp14:anchorId="5A73FC8F" wp14:editId="2CAECD60">
            <wp:extent cx="6400800" cy="522795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2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364">
        <w:t xml:space="preserve"> </w:t>
      </w:r>
    </w:p>
    <w:p w:rsidR="00110DFF" w:rsidRDefault="00110DFF" w:rsidP="00110DFF">
      <w:pPr>
        <w:spacing w:after="0"/>
        <w:ind w:right="441"/>
        <w:jc w:val="both"/>
      </w:pPr>
    </w:p>
    <w:p w:rsidR="00110DFF" w:rsidRDefault="00110DFF" w:rsidP="00110DFF">
      <w:pPr>
        <w:spacing w:after="0"/>
        <w:ind w:right="441"/>
        <w:jc w:val="both"/>
      </w:pPr>
      <w:r>
        <w:lastRenderedPageBreak/>
        <w:drawing>
          <wp:inline distT="0" distB="0" distL="0" distR="0" wp14:anchorId="10B1A586" wp14:editId="7FC1A0A9">
            <wp:extent cx="6400800" cy="46577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FF" w:rsidRDefault="007C783F" w:rsidP="00110DFF">
      <w:pPr>
        <w:spacing w:after="0"/>
        <w:ind w:right="441"/>
        <w:jc w:val="both"/>
      </w:pPr>
      <w:r>
        <w:drawing>
          <wp:inline distT="0" distB="0" distL="0" distR="0" wp14:anchorId="02FF8570" wp14:editId="7C376DD7">
            <wp:extent cx="6400800" cy="276542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83F" w:rsidRDefault="007C783F" w:rsidP="00110DFF">
      <w:pPr>
        <w:spacing w:after="0"/>
        <w:ind w:right="441"/>
        <w:jc w:val="both"/>
      </w:pPr>
      <w:r>
        <w:lastRenderedPageBreak/>
        <w:drawing>
          <wp:inline distT="0" distB="0" distL="0" distR="0" wp14:anchorId="21511DB5" wp14:editId="13967C5A">
            <wp:extent cx="6400800" cy="3958590"/>
            <wp:effectExtent l="0" t="0" r="0" b="381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D67" w:rsidRPr="004C6684" w:rsidRDefault="00135D67" w:rsidP="004C4011">
      <w:pPr>
        <w:spacing w:after="0"/>
        <w:ind w:right="441" w:firstLine="1701"/>
        <w:jc w:val="both"/>
        <w:rPr>
          <w:rFonts w:cstheme="minorHAnsi"/>
        </w:rPr>
      </w:pPr>
    </w:p>
    <w:p w:rsidR="00543955" w:rsidRDefault="00543955" w:rsidP="00543955">
      <w:pPr>
        <w:spacing w:after="0"/>
        <w:ind w:right="441" w:firstLine="1701"/>
        <w:jc w:val="both"/>
      </w:pPr>
    </w:p>
    <w:p w:rsidR="00D52FE5" w:rsidRDefault="00D52FE5" w:rsidP="000F4A6F">
      <w:pPr>
        <w:spacing w:after="0"/>
        <w:ind w:right="441"/>
        <w:jc w:val="both"/>
      </w:pPr>
    </w:p>
    <w:p w:rsidR="003304BC" w:rsidRPr="00BB1198" w:rsidRDefault="003304BC" w:rsidP="00C32C9D">
      <w:pPr>
        <w:spacing w:after="0"/>
        <w:ind w:right="441"/>
        <w:jc w:val="both"/>
        <w:rPr>
          <w:b/>
          <w:sz w:val="28"/>
          <w:szCs w:val="28"/>
        </w:rPr>
      </w:pPr>
    </w:p>
    <w:sectPr w:rsidR="003304BC" w:rsidRPr="00BB1198" w:rsidSect="00BC4220">
      <w:pgSz w:w="11900" w:h="16820"/>
      <w:pgMar w:top="1263" w:right="460" w:bottom="280" w:left="13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A24" w:rsidRDefault="00512A24" w:rsidP="00E84D32">
      <w:pPr>
        <w:spacing w:after="0" w:line="240" w:lineRule="auto"/>
      </w:pPr>
      <w:r>
        <w:separator/>
      </w:r>
    </w:p>
  </w:endnote>
  <w:endnote w:type="continuationSeparator" w:id="0">
    <w:p w:rsidR="00512A24" w:rsidRDefault="00512A24" w:rsidP="00E8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A24" w:rsidRDefault="00512A24" w:rsidP="00E84D32">
      <w:pPr>
        <w:spacing w:after="0" w:line="240" w:lineRule="auto"/>
      </w:pPr>
      <w:r>
        <w:separator/>
      </w:r>
    </w:p>
  </w:footnote>
  <w:footnote w:type="continuationSeparator" w:id="0">
    <w:p w:rsidR="00512A24" w:rsidRDefault="00512A24" w:rsidP="00E8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C98"/>
    <w:multiLevelType w:val="hybridMultilevel"/>
    <w:tmpl w:val="C128B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1778"/>
    <w:multiLevelType w:val="hybridMultilevel"/>
    <w:tmpl w:val="A746B268"/>
    <w:lvl w:ilvl="0" w:tplc="138EA6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449D"/>
    <w:multiLevelType w:val="multilevel"/>
    <w:tmpl w:val="1052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C37690D"/>
    <w:multiLevelType w:val="hybridMultilevel"/>
    <w:tmpl w:val="E1AE842A"/>
    <w:lvl w:ilvl="0" w:tplc="2FC60CC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6021F"/>
    <w:multiLevelType w:val="hybridMultilevel"/>
    <w:tmpl w:val="ED42B024"/>
    <w:lvl w:ilvl="0" w:tplc="0778EFE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622E394E"/>
    <w:multiLevelType w:val="hybridMultilevel"/>
    <w:tmpl w:val="D3A01846"/>
    <w:lvl w:ilvl="0" w:tplc="CD12E940">
      <w:start w:val="1"/>
      <w:numFmt w:val="lowerLetter"/>
      <w:lvlText w:val="%1)"/>
      <w:lvlJc w:val="left"/>
      <w:pPr>
        <w:ind w:left="2061" w:hanging="360"/>
      </w:pPr>
      <w:rPr>
        <w:rFonts w:ascii="Arial" w:hAnsi="Arial"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62C3A83"/>
    <w:multiLevelType w:val="hybridMultilevel"/>
    <w:tmpl w:val="4E80E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09"/>
    <w:rsid w:val="000207AC"/>
    <w:rsid w:val="00020F67"/>
    <w:rsid w:val="0002498B"/>
    <w:rsid w:val="00050AF3"/>
    <w:rsid w:val="00050F08"/>
    <w:rsid w:val="000531F3"/>
    <w:rsid w:val="00076E84"/>
    <w:rsid w:val="000D0D3D"/>
    <w:rsid w:val="000F39DE"/>
    <w:rsid w:val="000F4A6F"/>
    <w:rsid w:val="000F4AD0"/>
    <w:rsid w:val="00107FEC"/>
    <w:rsid w:val="001101BC"/>
    <w:rsid w:val="00110DFF"/>
    <w:rsid w:val="001257ED"/>
    <w:rsid w:val="001301F9"/>
    <w:rsid w:val="00135D67"/>
    <w:rsid w:val="001408E2"/>
    <w:rsid w:val="001421C7"/>
    <w:rsid w:val="0014780C"/>
    <w:rsid w:val="00150F98"/>
    <w:rsid w:val="00157B2D"/>
    <w:rsid w:val="001664D9"/>
    <w:rsid w:val="001717BA"/>
    <w:rsid w:val="001734F2"/>
    <w:rsid w:val="00177A7F"/>
    <w:rsid w:val="0019237B"/>
    <w:rsid w:val="00194AA4"/>
    <w:rsid w:val="001A7C2C"/>
    <w:rsid w:val="0020238E"/>
    <w:rsid w:val="00206DCD"/>
    <w:rsid w:val="0024772B"/>
    <w:rsid w:val="002530AB"/>
    <w:rsid w:val="00272484"/>
    <w:rsid w:val="002736A6"/>
    <w:rsid w:val="002840E7"/>
    <w:rsid w:val="0029413C"/>
    <w:rsid w:val="002A7C67"/>
    <w:rsid w:val="002C408B"/>
    <w:rsid w:val="002D5B83"/>
    <w:rsid w:val="002E1E65"/>
    <w:rsid w:val="002F7CB6"/>
    <w:rsid w:val="00316A5A"/>
    <w:rsid w:val="003304BC"/>
    <w:rsid w:val="00333031"/>
    <w:rsid w:val="00376B21"/>
    <w:rsid w:val="00377C89"/>
    <w:rsid w:val="00395320"/>
    <w:rsid w:val="003A131A"/>
    <w:rsid w:val="003B4893"/>
    <w:rsid w:val="003D10AD"/>
    <w:rsid w:val="003D7582"/>
    <w:rsid w:val="003E336E"/>
    <w:rsid w:val="003F02AE"/>
    <w:rsid w:val="00405FB9"/>
    <w:rsid w:val="004363CC"/>
    <w:rsid w:val="00467DDE"/>
    <w:rsid w:val="0047768E"/>
    <w:rsid w:val="00483E8A"/>
    <w:rsid w:val="004962F0"/>
    <w:rsid w:val="004A1B48"/>
    <w:rsid w:val="004B00E9"/>
    <w:rsid w:val="004B2FF2"/>
    <w:rsid w:val="004C4011"/>
    <w:rsid w:val="004C6684"/>
    <w:rsid w:val="004D115F"/>
    <w:rsid w:val="004E243E"/>
    <w:rsid w:val="004F4C84"/>
    <w:rsid w:val="00512A24"/>
    <w:rsid w:val="00542036"/>
    <w:rsid w:val="00543955"/>
    <w:rsid w:val="00545ED0"/>
    <w:rsid w:val="00564D90"/>
    <w:rsid w:val="0058226E"/>
    <w:rsid w:val="005A1937"/>
    <w:rsid w:val="005A5B91"/>
    <w:rsid w:val="005D01D9"/>
    <w:rsid w:val="005E27A6"/>
    <w:rsid w:val="005E5802"/>
    <w:rsid w:val="006368DF"/>
    <w:rsid w:val="00644311"/>
    <w:rsid w:val="00661AAF"/>
    <w:rsid w:val="00670D14"/>
    <w:rsid w:val="00682314"/>
    <w:rsid w:val="00682E09"/>
    <w:rsid w:val="0069632D"/>
    <w:rsid w:val="006A6170"/>
    <w:rsid w:val="006B350B"/>
    <w:rsid w:val="006C3E6C"/>
    <w:rsid w:val="006D6BDD"/>
    <w:rsid w:val="006E1EA8"/>
    <w:rsid w:val="006F1A4F"/>
    <w:rsid w:val="006F6D42"/>
    <w:rsid w:val="00716A9F"/>
    <w:rsid w:val="00735196"/>
    <w:rsid w:val="00741233"/>
    <w:rsid w:val="00743056"/>
    <w:rsid w:val="0074624D"/>
    <w:rsid w:val="00750CE2"/>
    <w:rsid w:val="007C783F"/>
    <w:rsid w:val="007E0690"/>
    <w:rsid w:val="007F2F8C"/>
    <w:rsid w:val="007F6C4A"/>
    <w:rsid w:val="00816BF4"/>
    <w:rsid w:val="008228B6"/>
    <w:rsid w:val="0084763C"/>
    <w:rsid w:val="0086406D"/>
    <w:rsid w:val="008659E9"/>
    <w:rsid w:val="00867DCB"/>
    <w:rsid w:val="00876ECC"/>
    <w:rsid w:val="00885020"/>
    <w:rsid w:val="00887F38"/>
    <w:rsid w:val="0089562D"/>
    <w:rsid w:val="00895BFE"/>
    <w:rsid w:val="008A50FD"/>
    <w:rsid w:val="008B0A31"/>
    <w:rsid w:val="008C2CB0"/>
    <w:rsid w:val="008F0B9E"/>
    <w:rsid w:val="008F45C8"/>
    <w:rsid w:val="008F652A"/>
    <w:rsid w:val="009165A9"/>
    <w:rsid w:val="009409CE"/>
    <w:rsid w:val="00947AA3"/>
    <w:rsid w:val="00962C89"/>
    <w:rsid w:val="00966791"/>
    <w:rsid w:val="00966945"/>
    <w:rsid w:val="009774A1"/>
    <w:rsid w:val="009872B1"/>
    <w:rsid w:val="009A012E"/>
    <w:rsid w:val="009C2842"/>
    <w:rsid w:val="009D1798"/>
    <w:rsid w:val="009D3999"/>
    <w:rsid w:val="009E0EFF"/>
    <w:rsid w:val="009F3364"/>
    <w:rsid w:val="009F7C9B"/>
    <w:rsid w:val="00A0025F"/>
    <w:rsid w:val="00A01F7B"/>
    <w:rsid w:val="00A45DBC"/>
    <w:rsid w:val="00A66624"/>
    <w:rsid w:val="00A76ACA"/>
    <w:rsid w:val="00AA1062"/>
    <w:rsid w:val="00AB3728"/>
    <w:rsid w:val="00AB47FB"/>
    <w:rsid w:val="00AC6B45"/>
    <w:rsid w:val="00AD12DC"/>
    <w:rsid w:val="00AF6B60"/>
    <w:rsid w:val="00AF7BD6"/>
    <w:rsid w:val="00B31284"/>
    <w:rsid w:val="00B65D82"/>
    <w:rsid w:val="00B67CE6"/>
    <w:rsid w:val="00B73DD3"/>
    <w:rsid w:val="00B8117D"/>
    <w:rsid w:val="00BA23E3"/>
    <w:rsid w:val="00BA4FBF"/>
    <w:rsid w:val="00BB1198"/>
    <w:rsid w:val="00BB53B7"/>
    <w:rsid w:val="00BC4220"/>
    <w:rsid w:val="00BE3674"/>
    <w:rsid w:val="00BE41F5"/>
    <w:rsid w:val="00BF5A52"/>
    <w:rsid w:val="00C0144B"/>
    <w:rsid w:val="00C01AEF"/>
    <w:rsid w:val="00C06C62"/>
    <w:rsid w:val="00C10258"/>
    <w:rsid w:val="00C13079"/>
    <w:rsid w:val="00C26E5D"/>
    <w:rsid w:val="00C31597"/>
    <w:rsid w:val="00C32C9D"/>
    <w:rsid w:val="00C4217C"/>
    <w:rsid w:val="00C42F55"/>
    <w:rsid w:val="00C501E5"/>
    <w:rsid w:val="00C72E3D"/>
    <w:rsid w:val="00CA3AC5"/>
    <w:rsid w:val="00CA7584"/>
    <w:rsid w:val="00CB2A64"/>
    <w:rsid w:val="00CC2816"/>
    <w:rsid w:val="00CD0D45"/>
    <w:rsid w:val="00CD1FE5"/>
    <w:rsid w:val="00CD39E4"/>
    <w:rsid w:val="00CE19A6"/>
    <w:rsid w:val="00CE2BEF"/>
    <w:rsid w:val="00CE34A0"/>
    <w:rsid w:val="00CF5208"/>
    <w:rsid w:val="00D00F52"/>
    <w:rsid w:val="00D03703"/>
    <w:rsid w:val="00D10E55"/>
    <w:rsid w:val="00D1499E"/>
    <w:rsid w:val="00D34D47"/>
    <w:rsid w:val="00D36854"/>
    <w:rsid w:val="00D4304C"/>
    <w:rsid w:val="00D52FE5"/>
    <w:rsid w:val="00D70CE1"/>
    <w:rsid w:val="00D7181B"/>
    <w:rsid w:val="00D836D6"/>
    <w:rsid w:val="00D909E9"/>
    <w:rsid w:val="00DC442F"/>
    <w:rsid w:val="00DD7366"/>
    <w:rsid w:val="00E017BB"/>
    <w:rsid w:val="00E025AF"/>
    <w:rsid w:val="00E05F3F"/>
    <w:rsid w:val="00E1549F"/>
    <w:rsid w:val="00E302F8"/>
    <w:rsid w:val="00E37A2D"/>
    <w:rsid w:val="00E41793"/>
    <w:rsid w:val="00E733F0"/>
    <w:rsid w:val="00E7714B"/>
    <w:rsid w:val="00E84D32"/>
    <w:rsid w:val="00E943C1"/>
    <w:rsid w:val="00EB1693"/>
    <w:rsid w:val="00EB2570"/>
    <w:rsid w:val="00EB59F7"/>
    <w:rsid w:val="00EB5E57"/>
    <w:rsid w:val="00EC1FC9"/>
    <w:rsid w:val="00ED441C"/>
    <w:rsid w:val="00EE7C1B"/>
    <w:rsid w:val="00EF74D1"/>
    <w:rsid w:val="00F23854"/>
    <w:rsid w:val="00F52BEB"/>
    <w:rsid w:val="00F72667"/>
    <w:rsid w:val="00F80E14"/>
    <w:rsid w:val="00FA3B3B"/>
    <w:rsid w:val="00FA619A"/>
    <w:rsid w:val="00FD7DED"/>
    <w:rsid w:val="00FF0905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5FF53"/>
  <w15:chartTrackingRefBased/>
  <w15:docId w15:val="{5A5583FF-5677-4581-92E3-9809E212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D32"/>
    <w:rPr>
      <w:noProof/>
    </w:rPr>
  </w:style>
  <w:style w:type="paragraph" w:styleId="Rodap">
    <w:name w:val="footer"/>
    <w:basedOn w:val="Normal"/>
    <w:link w:val="Rodap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D32"/>
    <w:rPr>
      <w:noProof/>
    </w:rPr>
  </w:style>
  <w:style w:type="paragraph" w:styleId="Corpodetexto">
    <w:name w:val="Body Text"/>
    <w:basedOn w:val="Normal"/>
    <w:link w:val="CorpodetextoChar"/>
    <w:uiPriority w:val="1"/>
    <w:qFormat/>
    <w:rsid w:val="00BC4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18"/>
      <w:szCs w:val="18"/>
      <w:u w:val="single" w:color="00000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4220"/>
    <w:rPr>
      <w:rFonts w:ascii="Times New Roman" w:eastAsia="Times New Roman" w:hAnsi="Times New Roman" w:cs="Times New Roman"/>
      <w:sz w:val="18"/>
      <w:szCs w:val="18"/>
      <w:u w:val="single" w:color="000000"/>
      <w:lang w:val="pt-PT" w:eastAsia="pt-PT" w:bidi="pt-PT"/>
    </w:rPr>
  </w:style>
  <w:style w:type="table" w:styleId="Tabelacomgrade">
    <w:name w:val="Table Grid"/>
    <w:basedOn w:val="Tabelanormal"/>
    <w:uiPriority w:val="39"/>
    <w:rsid w:val="006F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D39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E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063F-6982-4963-8049-745CAEF6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2098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Luiz Paulo</cp:lastModifiedBy>
  <cp:revision>11</cp:revision>
  <dcterms:created xsi:type="dcterms:W3CDTF">2019-10-07T10:35:00Z</dcterms:created>
  <dcterms:modified xsi:type="dcterms:W3CDTF">2019-10-07T15:15:00Z</dcterms:modified>
</cp:coreProperties>
</file>