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62F" w14:textId="15FE9DDB" w:rsidR="002B03C3" w:rsidRPr="00A97964" w:rsidRDefault="008842E1" w:rsidP="002B03C3">
      <w:pPr>
        <w:pStyle w:val="Ttulo1"/>
        <w:rPr>
          <w:rFonts w:ascii="Noto Serif" w:eastAsia="Times New Roman" w:hAnsi="Noto Serif" w:cs="Noto Serif"/>
          <w:b/>
          <w:bCs/>
          <w:sz w:val="56"/>
          <w:szCs w:val="56"/>
          <w:lang w:eastAsia="pt-BR"/>
        </w:rPr>
      </w:pPr>
      <w:r w:rsidRPr="008842E1">
        <w:rPr>
          <w:rFonts w:eastAsia="Times New Roman"/>
          <w:b/>
          <w:bCs/>
          <w:color w:val="FF0000"/>
          <w:sz w:val="36"/>
          <w:szCs w:val="36"/>
          <w:highlight w:val="yellow"/>
          <w:lang w:eastAsia="pt-BR"/>
        </w:rPr>
        <w:t>ATUALIZADO EMENTÁRIO 2022</w:t>
      </w:r>
      <w:r w:rsidR="002B03C3" w:rsidRPr="002B03C3">
        <w:rPr>
          <w:rFonts w:eastAsia="Times New Roman"/>
          <w:sz w:val="24"/>
          <w:szCs w:val="24"/>
          <w:lang w:eastAsia="pt-BR"/>
        </w:rPr>
        <w:br/>
      </w:r>
      <w:r w:rsidR="002B03C3" w:rsidRPr="00A97964">
        <w:rPr>
          <w:rFonts w:ascii="Noto Serif" w:eastAsia="Times New Roman" w:hAnsi="Noto Serif" w:cs="Noto Serif"/>
          <w:b/>
          <w:bCs/>
          <w:color w:val="auto"/>
          <w:sz w:val="56"/>
          <w:szCs w:val="56"/>
          <w:lang w:eastAsia="pt-BR"/>
        </w:rPr>
        <w:t>Coronavírus – COVID-19 - Lei Complementar 173/2020 - NT. 193/2020 - NT. 176/2020</w:t>
      </w:r>
    </w:p>
    <w:p w14:paraId="1FC0F002" w14:textId="58CFDD15" w:rsidR="002B03C3" w:rsidRPr="002B03C3" w:rsidRDefault="002B03C3" w:rsidP="002B03C3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</w:p>
    <w:p w14:paraId="6A6AC1C2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br/>
        <w:t>﻿</w:t>
      </w:r>
    </w:p>
    <w:p w14:paraId="1C981D40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  <w:t>RECEITAS COVID-19</w:t>
      </w:r>
    </w:p>
    <w:p w14:paraId="12A6D7B3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Realização da Receita:</w:t>
      </w:r>
    </w:p>
    <w:p w14:paraId="25ADB164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Saúde - Sus</w:t>
      </w:r>
    </w:p>
    <w:p w14:paraId="137B081F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Recurso Federal do SUS - Custeio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44E26A3E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348FA" w14:textId="66E686EF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1.7.1.3.50.2.1.84.00.00.00.00.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3961C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Transferência de Recursos do SUS Coronavírus - COVID19</w:t>
            </w:r>
          </w:p>
        </w:tc>
      </w:tr>
      <w:tr w:rsidR="00A97964" w:rsidRPr="00A97964" w14:paraId="18806FB0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29D99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01.027.0084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4BE97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Recursos</w:t>
            </w:r>
          </w:p>
        </w:tc>
      </w:tr>
    </w:tbl>
    <w:p w14:paraId="12497BB2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281B1D74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Recurso Federal do SUS - Investimento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63247E08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5B10D" w14:textId="5EFBB798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1.7.1.3.51.9.1.90.00.00.00.00.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60542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Transferência de Recursos do SUS Investimento Coronavírus - COVID19</w:t>
            </w:r>
          </w:p>
        </w:tc>
      </w:tr>
      <w:tr w:rsidR="00A97964" w:rsidRPr="00A97964" w14:paraId="74F42042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3D692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01.028.0084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B547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54868BAC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48A91D86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Saúde - Estadual</w:t>
      </w:r>
    </w:p>
    <w:p w14:paraId="1ADE87EE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Recurso Estadual – Custeio Fundo a Fundo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3ACD159B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17EAA" w14:textId="4E5E757E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1.7.2.3.50.0.1.85.00.00.00.00.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52B5B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Transferência de Recursos do Estado para Programas de Saúde Repasse Fundo a Fundo - COVID19</w:t>
            </w:r>
          </w:p>
        </w:tc>
      </w:tr>
      <w:tr w:rsidR="00A97964" w:rsidRPr="00A97964" w14:paraId="6B82260F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2A31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01.022.0085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783A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7AFAF479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0881BCDF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Saúde Convênio (Receita Corrente) - Estadual</w:t>
      </w:r>
    </w:p>
    <w:p w14:paraId="743774AD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Recurso Estadual – Custeio SUS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480B535C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3FD7F" w14:textId="41BED81A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lastRenderedPageBreak/>
              <w:t>1.7.2.4.50.0.1.00.00.00.00.00.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0B34C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Transferências de Convênio dos Estados para o Sistema Único de Saúde  SUS – Principal</w:t>
            </w:r>
          </w:p>
        </w:tc>
      </w:tr>
      <w:tr w:rsidR="00A97964" w:rsidRPr="00A97964" w14:paraId="47879621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9C7DC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02.022.0085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5422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3797402A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40854C5F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Saúde Convênio (Receita De Capital) - Estadual</w:t>
      </w:r>
    </w:p>
    <w:p w14:paraId="54CFAC6E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Recurso Estadual – Investimento Saúde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75334756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6E296" w14:textId="7D6746FC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2.4.2.2.50.0.1.00.00.00.00.00.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F5A2E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Transferências de Convênios dos Estados para o Sistema Único de Saúde  SUS – Principal</w:t>
            </w:r>
          </w:p>
        </w:tc>
      </w:tr>
      <w:tr w:rsidR="00A97964" w:rsidRPr="00A97964" w14:paraId="1A5F46D6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4AA0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02.022.0085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B84B8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542D37DD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65C4F4FF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  <w:t>Receitas da assist. Social</w:t>
      </w:r>
    </w:p>
    <w:p w14:paraId="4FF7C110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Social - Fnas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5400"/>
      </w:tblGrid>
      <w:tr w:rsidR="00A97964" w:rsidRPr="00A97964" w14:paraId="0DA5B420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66843" w14:textId="0F81B248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1.7.1.6.50.0.1.84.00.00.00.00.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AD04B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Ações de Enfrentamento ao COVID-19 - FNAS</w:t>
            </w:r>
          </w:p>
        </w:tc>
      </w:tr>
      <w:tr w:rsidR="00A97964" w:rsidRPr="00A97964" w14:paraId="01F33251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BF22A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01.015.0084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5F41F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Recursos</w:t>
            </w:r>
          </w:p>
        </w:tc>
      </w:tr>
    </w:tbl>
    <w:p w14:paraId="69DDF3DD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02E14619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Social - Estadual</w:t>
      </w:r>
    </w:p>
    <w:p w14:paraId="174AEB46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Recurso Estadual do Assistência Social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6F039BAF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0AD22" w14:textId="48223F37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1.7.2.9.51.0.1.00.00.00.00.00.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EAD85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TRANSFERÊNCIAS DE ESTADOS DESTINADAS À ASSISTÊNCIA SOCIAL - PRINCIPAL</w:t>
            </w:r>
          </w:p>
        </w:tc>
      </w:tr>
      <w:tr w:rsidR="00A97964" w:rsidRPr="00A97964" w14:paraId="1A5EA287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876A4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01.022.0085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C6B5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3B8DD82E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4BAB2CF5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  <w:t>Despesas:</w:t>
      </w:r>
    </w:p>
    <w:p w14:paraId="00E8A174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Para a abertura dos créditos adicionais para a execução das despesas serão utilizadas as mesmas fontes de recursos.</w:t>
      </w:r>
    </w:p>
    <w:p w14:paraId="77868893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 xml:space="preserve">Caso a entidade necessitar de abertura de créditos adicionais para despesas com recursos próprios, sugerimos utilizar a fonte de recursos </w:t>
      </w: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u w:val="single"/>
          <w:lang w:eastAsia="pt-BR"/>
        </w:rPr>
        <w:t>1.022.0000.</w:t>
      </w:r>
    </w:p>
    <w:p w14:paraId="64B273AF" w14:textId="77777777" w:rsidR="005B0027" w:rsidRDefault="005B0027" w:rsidP="00A97964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</w:pPr>
    </w:p>
    <w:p w14:paraId="61E47D83" w14:textId="77777777" w:rsidR="005B0027" w:rsidRDefault="005B0027" w:rsidP="00A97964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</w:pPr>
    </w:p>
    <w:p w14:paraId="7F325A66" w14:textId="2D0CDF6F" w:rsidR="00A97964" w:rsidRPr="00A97964" w:rsidRDefault="00A97964" w:rsidP="00A97964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  <w:lastRenderedPageBreak/>
        <w:t>Lei Complementar 173/2020</w:t>
      </w:r>
    </w:p>
    <w:p w14:paraId="49C2EF1E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 xml:space="preserve">Ref. A contabilização de Rec. destinados ao enfrentamento ao COVID-19 </w:t>
      </w:r>
    </w:p>
    <w:p w14:paraId="565C39AC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Informações Importantes:</w:t>
      </w:r>
    </w:p>
    <w:p w14:paraId="2B1D6B47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Compõe RCL;</w:t>
      </w:r>
    </w:p>
    <w:p w14:paraId="22A95CEF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Não compõe Anexo 8 (educação) e 12 (Saúde) da LRF;</w:t>
      </w:r>
    </w:p>
    <w:p w14:paraId="565F0401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Incide cálculo PASEP;</w:t>
      </w:r>
    </w:p>
    <w:p w14:paraId="162989A2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 xml:space="preserve">Realização da Receita </w:t>
      </w:r>
    </w:p>
    <w:p w14:paraId="5291DB93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Livre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4E1DB4AF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17A6F" w14:textId="30D46876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1.7.1.9.99.0.2.01.00.00.00.00.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2BA9C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– PRINCIPAL LIVRE</w:t>
            </w:r>
          </w:p>
        </w:tc>
      </w:tr>
      <w:tr w:rsidR="00A97964" w:rsidRPr="00A97964" w14:paraId="3FB5F1AE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97863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01.000.0000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C4D7F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 Livres</w:t>
            </w:r>
          </w:p>
        </w:tc>
      </w:tr>
    </w:tbl>
    <w:p w14:paraId="4205734E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66256208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Saúde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667C7719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EBFEC" w14:textId="47858A52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1.7.1.9.99.0.2.02.00.00.00.00.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5939A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– PRINCIPAL SAÚDE</w:t>
            </w:r>
          </w:p>
        </w:tc>
      </w:tr>
      <w:tr w:rsidR="00A97964" w:rsidRPr="00A97964" w14:paraId="1B50D249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1F989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01.022.0084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ED57D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06A00501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43EC999B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Social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7BE97B29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DA985" w14:textId="11D5817B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1.7.1.9.99.0.2.03.00.00.00.00.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D47D4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– PRINCIPAL SOCIAL</w:t>
            </w:r>
          </w:p>
        </w:tc>
      </w:tr>
      <w:tr w:rsidR="00A97964" w:rsidRPr="00A97964" w14:paraId="765C775E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6CA82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01.022.0084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3A562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545C3806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OBS. A fonte de recurso utilizada será a 01.022.0084 para ambos os casos (Sáude e Social).</w:t>
      </w:r>
    </w:p>
    <w:p w14:paraId="70DE2727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Educação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2F9DE4A8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0EF5E" w14:textId="18039860" w:rsidR="00A97964" w:rsidRPr="00A97964" w:rsidRDefault="005B0027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1.7.1.9.99.0.2.04.00.00.00.00.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BA7B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– PRINCIPAL SOCIAL</w:t>
            </w:r>
          </w:p>
        </w:tc>
      </w:tr>
      <w:tr w:rsidR="00A97964" w:rsidRPr="00A97964" w14:paraId="168CE3B8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9DE77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01.022.0084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8687A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3608C3B0" w14:textId="46D4FBDD" w:rsid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OBS. A fonte de recurso utilizada será a 01.022.0084 para ambos os casos (Saúde, Social e Educação).</w:t>
      </w: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br/>
      </w: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br/>
      </w: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09481979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b/>
          <w:bCs/>
          <w:color w:val="1E1E1E"/>
          <w:sz w:val="54"/>
          <w:szCs w:val="5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54"/>
          <w:szCs w:val="54"/>
          <w:lang w:eastAsia="pt-BR"/>
        </w:rPr>
        <w:lastRenderedPageBreak/>
        <w:t>Nota Técnica 193/2020</w:t>
      </w:r>
    </w:p>
    <w:p w14:paraId="2E05E4F7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 xml:space="preserve">Ref. As Emendas Parlamentares. </w:t>
      </w:r>
    </w:p>
    <w:p w14:paraId="332D9F70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Informações Importantes:</w:t>
      </w:r>
    </w:p>
    <w:p w14:paraId="784A5F01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DEDUZ RCL;</w:t>
      </w:r>
    </w:p>
    <w:p w14:paraId="582BA8F7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LIVRE</w:t>
      </w:r>
    </w:p>
    <w:p w14:paraId="1DFDF276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Custeio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0E18AA55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B4D78" w14:textId="5DFFFF49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1.7.1.9.99.0.3.01.01.00.00.00.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7BBB4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Saúde - Emendas Individuais</w:t>
            </w:r>
          </w:p>
        </w:tc>
      </w:tr>
      <w:tr w:rsidR="00A97964" w:rsidRPr="00A97964" w14:paraId="32F02E12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B2C5C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01.000.0103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1A913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  <w:tr w:rsidR="00A97964" w:rsidRPr="00A97964" w14:paraId="37D97EBC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43F28" w14:textId="302D897B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1.7.1.9.99.0.3.01.02.00.00.00.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7BA78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Livre - Emendas de Bancada</w:t>
            </w:r>
          </w:p>
        </w:tc>
      </w:tr>
      <w:tr w:rsidR="00A97964" w:rsidRPr="00A97964" w14:paraId="3C6D67D4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FD6C7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01.000.0104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F5A05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4C350D27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2A46628B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Investimento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031D7BBB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F2C03" w14:textId="701FC81C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2.4.1.9.99.0.3.01.01.00.00.00.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84DCD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Livre - Emendas Individuais</w:t>
            </w:r>
          </w:p>
        </w:tc>
      </w:tr>
      <w:tr w:rsidR="00A97964" w:rsidRPr="00A97964" w14:paraId="5F8660FD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068A3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01.000.0103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AF56D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  <w:tr w:rsidR="00A97964" w:rsidRPr="00A97964" w14:paraId="7D651B11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3B6A2" w14:textId="7FBE36DB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2.4.1.9.99.0.3.01.02.00.00.00.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22DD5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Livre - Emendas de Bancada</w:t>
            </w:r>
          </w:p>
        </w:tc>
      </w:tr>
      <w:tr w:rsidR="00A97964" w:rsidRPr="00A97964" w14:paraId="46656A2D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C6173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01.000.0104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33F6E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3BA72D12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OBS. Investimentos NÃO DEDUZ DA RCL</w:t>
      </w:r>
    </w:p>
    <w:p w14:paraId="1778D486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SAÚDE</w:t>
      </w:r>
    </w:p>
    <w:p w14:paraId="117DC903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Custeio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5669"/>
      </w:tblGrid>
      <w:tr w:rsidR="00A97964" w:rsidRPr="00A97964" w14:paraId="0F944FDE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531A3" w14:textId="6D75C58C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1.7.1.9.99.0.3.02.01.00.00.00. .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E00DF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Saúde - Emendas Individuais</w:t>
            </w:r>
          </w:p>
        </w:tc>
      </w:tr>
      <w:tr w:rsidR="00A97964" w:rsidRPr="00A97964" w14:paraId="32E9C572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8BE02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01.027.0103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E1BB4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  <w:tr w:rsidR="00A97964" w:rsidRPr="00A97964" w14:paraId="527E27F1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88666" w14:textId="2D94B2EC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1.7.1.9.99.0.3.02.02.00.00.00.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8C4AD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Saúde - Emendas de Bancada</w:t>
            </w:r>
          </w:p>
        </w:tc>
      </w:tr>
      <w:tr w:rsidR="00A97964" w:rsidRPr="00A97964" w14:paraId="73E04565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F3592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01.027.0104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706E5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7DD33B75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lastRenderedPageBreak/>
        <w:t>﻿</w:t>
      </w:r>
    </w:p>
    <w:p w14:paraId="2B9CFCCE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Investimento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467E31D0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B23B5" w14:textId="40360C2D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2.4.1.9.99.0.3.02.01.00.00.00.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5AB6D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Saúde - Emendas Individuais</w:t>
            </w:r>
          </w:p>
        </w:tc>
      </w:tr>
      <w:tr w:rsidR="00A97964" w:rsidRPr="00A97964" w14:paraId="5E5C9667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9E1C2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01.028.0103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6D095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  <w:tr w:rsidR="00A97964" w:rsidRPr="00A97964" w14:paraId="08694663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2E90D" w14:textId="6417A41B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2.4.1.9.99.0.3.02.02.00.00.00.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36654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Saúde - Emendas de Bancada</w:t>
            </w:r>
          </w:p>
        </w:tc>
      </w:tr>
      <w:tr w:rsidR="00A97964" w:rsidRPr="00A97964" w14:paraId="3446C3E9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DFB5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01.028.0104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FF500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19D6A35B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5A458823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SOCIAL</w:t>
      </w:r>
    </w:p>
    <w:p w14:paraId="38849BC1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Custeio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3"/>
        <w:gridCol w:w="5437"/>
      </w:tblGrid>
      <w:tr w:rsidR="00A97964" w:rsidRPr="00A97964" w14:paraId="3F7267FA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80A50" w14:textId="7B314E91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1.7.1.9.99.0.3.03.01.00.00.00.</w:t>
            </w:r>
            <w:r>
              <w:rPr>
                <w:rFonts w:ascii="system-ui" w:hAnsi="system-ui"/>
                <w:color w:val="1E272E"/>
                <w:shd w:val="clear" w:color="auto" w:fill="F0F0F0"/>
              </w:rPr>
              <w:t>00</w:t>
            </w:r>
            <w:r>
              <w:rPr>
                <w:rFonts w:ascii="system-ui" w:hAnsi="system-ui"/>
                <w:color w:val="1E272E"/>
                <w:shd w:val="clear" w:color="auto" w:fill="F0F0F0"/>
              </w:rPr>
              <w:t>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078AE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Social - Emendas Individuais</w:t>
            </w:r>
          </w:p>
        </w:tc>
      </w:tr>
      <w:tr w:rsidR="00A97964" w:rsidRPr="00A97964" w14:paraId="51696E2E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BC793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01.015.0103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41F82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  <w:tr w:rsidR="00A97964" w:rsidRPr="00A97964" w14:paraId="5A6A5A96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4BE24" w14:textId="1E10A1FA" w:rsidR="00A97964" w:rsidRPr="00A97964" w:rsidRDefault="00D64B25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1.7.1.9.99.0.3.03.02.00.00.00.</w:t>
            </w:r>
            <w:r>
              <w:rPr>
                <w:rFonts w:ascii="system-ui" w:hAnsi="system-ui"/>
                <w:color w:val="1E272E"/>
                <w:shd w:val="clear" w:color="auto" w:fill="F0F0F0"/>
              </w:rPr>
              <w:t>0</w:t>
            </w:r>
            <w:r w:rsidR="008842E1">
              <w:rPr>
                <w:rFonts w:ascii="system-ui" w:hAnsi="system-ui"/>
                <w:color w:val="1E272E"/>
                <w:shd w:val="clear" w:color="auto" w:fill="F0F0F0"/>
              </w:rPr>
              <w:t>0</w:t>
            </w:r>
            <w:r>
              <w:rPr>
                <w:rFonts w:ascii="system-ui" w:hAnsi="system-ui"/>
                <w:color w:val="1E272E"/>
                <w:shd w:val="clear" w:color="auto" w:fill="F0F0F0"/>
              </w:rPr>
              <w:t>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F4657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Social - Emendas de Bancada</w:t>
            </w:r>
          </w:p>
        </w:tc>
      </w:tr>
      <w:tr w:rsidR="00A97964" w:rsidRPr="00A97964" w14:paraId="35361B91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2044F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01.015.0104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C200B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77CC4DC8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73D0F620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Investimento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3A8A9053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F2F39" w14:textId="380FAAB7" w:rsidR="00A97964" w:rsidRPr="00A97964" w:rsidRDefault="008842E1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2.4.1.9.99.0.3.03.01.00.00.00.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37273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Social - Emendas Individuais</w:t>
            </w:r>
          </w:p>
        </w:tc>
      </w:tr>
      <w:tr w:rsidR="00A97964" w:rsidRPr="00A97964" w14:paraId="254906E8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FA53A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1.015.0103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2A38B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</w:t>
            </w:r>
          </w:p>
        </w:tc>
      </w:tr>
      <w:tr w:rsidR="00A97964" w:rsidRPr="00A97964" w14:paraId="57334131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AABF9" w14:textId="16818435" w:rsidR="00A97964" w:rsidRPr="00A97964" w:rsidRDefault="008842E1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2.4.1.9.99.0.3.03.02.00.00.00.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46A6A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Social - Emendas de Bancada</w:t>
            </w:r>
          </w:p>
        </w:tc>
      </w:tr>
      <w:tr w:rsidR="00A97964" w:rsidRPr="00A97964" w14:paraId="1F91E30C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8E916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01.015.0104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2ED99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3ABFFC61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7241F7D7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2"/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7"/>
          <w:szCs w:val="37"/>
          <w:lang w:eastAsia="pt-BR"/>
        </w:rPr>
        <w:t>EDUCAÇÃO</w:t>
      </w:r>
    </w:p>
    <w:p w14:paraId="67CDF4CE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Custeio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3"/>
        <w:gridCol w:w="5437"/>
      </w:tblGrid>
      <w:tr w:rsidR="00A97964" w:rsidRPr="00A97964" w14:paraId="31A26217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56CDC" w14:textId="7F3C0BE1" w:rsidR="00A97964" w:rsidRPr="00A97964" w:rsidRDefault="008842E1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1.7.1.9.99.0.3.04.01.00.00.00.</w:t>
            </w:r>
            <w:r>
              <w:rPr>
                <w:rFonts w:ascii="system-ui" w:hAnsi="system-ui"/>
                <w:color w:val="1E272E"/>
                <w:shd w:val="clear" w:color="auto" w:fill="F0F0F0"/>
              </w:rPr>
              <w:t>00</w:t>
            </w:r>
            <w:r>
              <w:rPr>
                <w:rFonts w:ascii="system-ui" w:hAnsi="system-ui"/>
                <w:color w:val="1E272E"/>
                <w:shd w:val="clear" w:color="auto" w:fill="F0F0F0"/>
              </w:rPr>
              <w:t>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E0E97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Educação - Emendas Individuais</w:t>
            </w:r>
          </w:p>
        </w:tc>
      </w:tr>
      <w:tr w:rsidR="00A97964" w:rsidRPr="00A97964" w14:paraId="66B040F4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9DEC7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lastRenderedPageBreak/>
              <w:t>01.008.0103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44AA3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  <w:tr w:rsidR="00A97964" w:rsidRPr="00A97964" w14:paraId="1252E98F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8C682" w14:textId="6818439D" w:rsidR="00A97964" w:rsidRPr="00A97964" w:rsidRDefault="008842E1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1.7.1.9.99.0.3.04.02.00.00.00.</w:t>
            </w:r>
            <w:r>
              <w:rPr>
                <w:rFonts w:ascii="system-ui" w:hAnsi="system-ui"/>
                <w:color w:val="1E272E"/>
                <w:shd w:val="clear" w:color="auto" w:fill="F0F0F0"/>
              </w:rPr>
              <w:t>00</w:t>
            </w:r>
            <w:r>
              <w:rPr>
                <w:rFonts w:ascii="system-ui" w:hAnsi="system-ui"/>
                <w:color w:val="1E272E"/>
                <w:shd w:val="clear" w:color="auto" w:fill="F0F0F0"/>
              </w:rPr>
              <w:t>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411FD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Educação - Emendas de Bancada</w:t>
            </w:r>
          </w:p>
        </w:tc>
      </w:tr>
      <w:tr w:rsidR="00A97964" w:rsidRPr="00A97964" w14:paraId="2F83DBE3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6D3D7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01.008.0104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99E1E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70975806" w14:textId="77777777" w:rsidR="00A97964" w:rsidRP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7918BFBC" w14:textId="77777777" w:rsidR="00A97964" w:rsidRPr="00A97964" w:rsidRDefault="00A97964" w:rsidP="00A97964">
      <w:pPr>
        <w:shd w:val="clear" w:color="auto" w:fill="FFFFFF"/>
        <w:spacing w:before="180" w:after="180" w:line="240" w:lineRule="auto"/>
        <w:outlineLvl w:val="3"/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30"/>
          <w:szCs w:val="30"/>
          <w:lang w:eastAsia="pt-BR"/>
        </w:rPr>
        <w:t>Investimento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1BCFB43D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07C51" w14:textId="456D3F2D" w:rsidR="00A97964" w:rsidRPr="00A97964" w:rsidRDefault="008842E1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2.4.1.9.99.0.3.04.01.00.00.00.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E145A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Educação - Emendas Individuais</w:t>
            </w:r>
          </w:p>
        </w:tc>
      </w:tr>
      <w:tr w:rsidR="00A97964" w:rsidRPr="00A97964" w14:paraId="24AD919C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23F3C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01.008.0103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0A7AE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  <w:tr w:rsidR="00A97964" w:rsidRPr="00A97964" w14:paraId="7F6F6A6A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7C785" w14:textId="0732BEFC" w:rsidR="00A97964" w:rsidRPr="00A97964" w:rsidRDefault="008842E1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2.4.1.9.99.0.3.04.02.00.00.00.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DF57B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NT 193/2020 - Educação - Emendas de Bancada</w:t>
            </w:r>
          </w:p>
        </w:tc>
      </w:tr>
      <w:tr w:rsidR="00A97964" w:rsidRPr="00A97964" w14:paraId="2AA997F6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252BA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01.008.0104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C8AE8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47377C41" w14:textId="15B002C7" w:rsidR="00A97964" w:rsidRDefault="00A97964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﻿</w:t>
      </w:r>
    </w:p>
    <w:p w14:paraId="1C674D42" w14:textId="420BA2F6" w:rsidR="005B0027" w:rsidRDefault="005B0027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</w:p>
    <w:p w14:paraId="537783DE" w14:textId="2B0AC6F3" w:rsidR="005B0027" w:rsidRDefault="005B0027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</w:p>
    <w:p w14:paraId="577F0FF3" w14:textId="4093B58B" w:rsidR="005B0027" w:rsidRDefault="005B0027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</w:p>
    <w:p w14:paraId="7DA86E48" w14:textId="419BC9BA" w:rsidR="005B0027" w:rsidRDefault="005B0027" w:rsidP="00A97964">
      <w:pPr>
        <w:shd w:val="clear" w:color="auto" w:fill="FFFFFF"/>
        <w:spacing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</w:p>
    <w:p w14:paraId="5339FFEA" w14:textId="77777777" w:rsidR="005B0027" w:rsidRDefault="00A97964" w:rsidP="005B0027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47"/>
          <w:szCs w:val="47"/>
          <w:lang w:eastAsia="pt-BR"/>
        </w:rPr>
        <w:t>NT. 176/2020</w:t>
      </w:r>
    </w:p>
    <w:p w14:paraId="2F5B4786" w14:textId="1EDB0420" w:rsidR="00A97964" w:rsidRPr="00A97964" w:rsidRDefault="00A97964" w:rsidP="005B0027">
      <w:pPr>
        <w:shd w:val="clear" w:color="auto" w:fill="FFFFFF"/>
        <w:spacing w:before="180" w:after="180" w:line="240" w:lineRule="auto"/>
        <w:outlineLvl w:val="1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Ref. Recomposição Lei Kandir</w:t>
      </w:r>
    </w:p>
    <w:p w14:paraId="5BD3B339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b/>
          <w:bCs/>
          <w:color w:val="1E1E1E"/>
          <w:sz w:val="24"/>
          <w:szCs w:val="24"/>
          <w:lang w:eastAsia="pt-BR"/>
        </w:rPr>
        <w:t>Informações Importantes:</w:t>
      </w:r>
    </w:p>
    <w:p w14:paraId="638F7FDA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Compõe RCL;</w:t>
      </w:r>
    </w:p>
    <w:p w14:paraId="1328A87D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Não compõe Anexo 8 (educação) e 12 (Saúde) da LRF;</w:t>
      </w:r>
    </w:p>
    <w:p w14:paraId="19D4722B" w14:textId="77777777" w:rsidR="00A97964" w:rsidRPr="00A97964" w:rsidRDefault="00A97964" w:rsidP="00A97964">
      <w:pPr>
        <w:shd w:val="clear" w:color="auto" w:fill="FFFFFF"/>
        <w:spacing w:before="180" w:after="180" w:line="240" w:lineRule="auto"/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</w:pPr>
      <w:r w:rsidRPr="00A97964">
        <w:rPr>
          <w:rFonts w:ascii="Noto Serif" w:eastAsia="Times New Roman" w:hAnsi="Noto Serif" w:cs="Noto Serif"/>
          <w:color w:val="1E1E1E"/>
          <w:sz w:val="24"/>
          <w:szCs w:val="24"/>
          <w:lang w:eastAsia="pt-BR"/>
        </w:rPr>
        <w:t>Incide cálculo PASEP;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5725"/>
      </w:tblGrid>
      <w:tr w:rsidR="00A97964" w:rsidRPr="00A97964" w14:paraId="25862943" w14:textId="77777777" w:rsidTr="00A97964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C9C4A" w14:textId="0ACA23B8" w:rsidR="00A97964" w:rsidRPr="00A97964" w:rsidRDefault="008842E1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1E272E"/>
                <w:shd w:val="clear" w:color="auto" w:fill="F0F0F0"/>
              </w:rPr>
              <w:t>1.7.1.9.58.0.1.00.00.00.00.00.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46CFD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Outras Transferências da União - LC 176/2020 - Recomposição Lei Kandir</w:t>
            </w:r>
          </w:p>
        </w:tc>
      </w:tr>
      <w:tr w:rsidR="00A97964" w:rsidRPr="00A97964" w14:paraId="1E453493" w14:textId="77777777" w:rsidTr="00A9796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9B2DA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1.000.0000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F21EB" w14:textId="77777777" w:rsidR="00A97964" w:rsidRPr="00A97964" w:rsidRDefault="00A97964" w:rsidP="00A9796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A97964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Fonte de Recursos</w:t>
            </w:r>
          </w:p>
        </w:tc>
      </w:tr>
    </w:tbl>
    <w:p w14:paraId="7F7084FC" w14:textId="77777777" w:rsidR="007B3CC4" w:rsidRDefault="007B3CC4"/>
    <w:sectPr w:rsidR="007B3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C3"/>
    <w:rsid w:val="001701AB"/>
    <w:rsid w:val="002B03C3"/>
    <w:rsid w:val="005B0027"/>
    <w:rsid w:val="00736FD2"/>
    <w:rsid w:val="007B3CC4"/>
    <w:rsid w:val="008842E1"/>
    <w:rsid w:val="00A97964"/>
    <w:rsid w:val="00D6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6C9B"/>
  <w15:chartTrackingRefBased/>
  <w15:docId w15:val="{92822508-97E5-44AF-8F76-4088FE9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0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2B0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B0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B03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B03C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B03C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B03C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03C3"/>
    <w:rPr>
      <w:b/>
      <w:bCs/>
    </w:rPr>
  </w:style>
  <w:style w:type="paragraph" w:customStyle="1" w:styleId="block-editor-block-listblock">
    <w:name w:val="block-editor-block-list__block"/>
    <w:basedOn w:val="Normal"/>
    <w:rsid w:val="002B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B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5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7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8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2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2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4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9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1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6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5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0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6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4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84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4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51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6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5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43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5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97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1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3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8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9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2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4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3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3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3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1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1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7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9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5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0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3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6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A.R. da Costa</dc:creator>
  <cp:keywords/>
  <dc:description/>
  <cp:lastModifiedBy>Diogo A.R. da Costa</cp:lastModifiedBy>
  <cp:revision>4</cp:revision>
  <dcterms:created xsi:type="dcterms:W3CDTF">2022-02-15T20:06:00Z</dcterms:created>
  <dcterms:modified xsi:type="dcterms:W3CDTF">2022-02-16T14:33:00Z</dcterms:modified>
</cp:coreProperties>
</file>